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044682" w:rsidP="00465E1B">
            <w:pPr>
              <w:pStyle w:val="Infotext"/>
              <w:spacing w:line="276" w:lineRule="auto"/>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9F924D2" wp14:editId="06063E1F">
                  <wp:simplePos x="0" y="0"/>
                  <wp:positionH relativeFrom="margin">
                    <wp:posOffset>-240030</wp:posOffset>
                  </wp:positionH>
                  <wp:positionV relativeFrom="margin">
                    <wp:posOffset>-744855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465E1B">
            <w:pPr>
              <w:pStyle w:val="Infotext"/>
              <w:spacing w:line="276" w:lineRule="auto"/>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rsidP="00465E1B">
            <w:pPr>
              <w:pStyle w:val="Infotext"/>
              <w:spacing w:line="276" w:lineRule="auto"/>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rsidP="00465E1B">
            <w:pPr>
              <w:pStyle w:val="Infotext"/>
              <w:spacing w:line="276" w:lineRule="auto"/>
              <w:rPr>
                <w:rFonts w:ascii="Arial Black" w:hAnsi="Arial Black" w:cs="Arial"/>
                <w:sz w:val="36"/>
                <w:szCs w:val="36"/>
              </w:rPr>
            </w:pPr>
          </w:p>
        </w:tc>
        <w:tc>
          <w:tcPr>
            <w:tcW w:w="5051" w:type="dxa"/>
            <w:tcBorders>
              <w:bottom w:val="single" w:sz="18" w:space="0" w:color="auto"/>
            </w:tcBorders>
          </w:tcPr>
          <w:p w:rsidR="004D7310" w:rsidRPr="004D7310" w:rsidRDefault="004D7310" w:rsidP="006914A4">
            <w:pPr>
              <w:pStyle w:val="Infotext"/>
              <w:spacing w:line="276" w:lineRule="auto"/>
              <w:rPr>
                <w:rFonts w:ascii="Arial Black" w:hAnsi="Arial Black" w:cs="Arial"/>
                <w:sz w:val="36"/>
                <w:szCs w:val="36"/>
              </w:rPr>
            </w:pPr>
            <w:r w:rsidRPr="004D7310">
              <w:rPr>
                <w:rFonts w:ascii="Arial Black" w:hAnsi="Arial Black" w:cs="Arial"/>
                <w:sz w:val="36"/>
                <w:szCs w:val="36"/>
              </w:rPr>
              <w:t xml:space="preserve">OVERVIEW </w:t>
            </w:r>
            <w:r w:rsidR="006914A4">
              <w:rPr>
                <w:rFonts w:ascii="Arial Black" w:hAnsi="Arial Black" w:cs="Arial"/>
                <w:sz w:val="36"/>
                <w:szCs w:val="36"/>
              </w:rPr>
              <w:t xml:space="preserve">AND </w:t>
            </w:r>
            <w:r w:rsidRPr="004D7310">
              <w:rPr>
                <w:rFonts w:ascii="Arial Black" w:hAnsi="Arial Black" w:cs="Arial"/>
                <w:sz w:val="36"/>
                <w:szCs w:val="36"/>
              </w:rPr>
              <w:t>SCRUTINY COMMITTEE</w:t>
            </w:r>
            <w:r w:rsidR="00CC1569">
              <w:rPr>
                <w:rFonts w:ascii="Arial Black" w:hAnsi="Arial Black" w:cs="Arial"/>
                <w:sz w:val="36"/>
                <w:szCs w:val="36"/>
              </w:rPr>
              <w:t xml:space="preserve"> </w:t>
            </w:r>
          </w:p>
        </w:tc>
      </w:tr>
      <w:tr w:rsidR="005441BD">
        <w:tc>
          <w:tcPr>
            <w:tcW w:w="3474" w:type="dxa"/>
            <w:tcBorders>
              <w:top w:val="single" w:sz="18" w:space="0" w:color="auto"/>
            </w:tcBorders>
          </w:tcPr>
          <w:p w:rsidR="005441BD" w:rsidRPr="004D7310" w:rsidRDefault="00472428" w:rsidP="00465E1B">
            <w:pPr>
              <w:pStyle w:val="Infotext"/>
              <w:spacing w:line="276" w:lineRule="auto"/>
              <w:rPr>
                <w:rFonts w:ascii="Arial Black" w:hAnsi="Arial Black"/>
              </w:rPr>
            </w:pPr>
            <w:r>
              <w:rPr>
                <w:rFonts w:ascii="Arial Black" w:hAnsi="Arial Black"/>
              </w:rPr>
              <w:t>Da</w:t>
            </w:r>
            <w:r w:rsidR="005441BD" w:rsidRPr="004D7310">
              <w:rPr>
                <w:rFonts w:ascii="Arial Black" w:hAnsi="Arial Black"/>
              </w:rPr>
              <w:t>te</w:t>
            </w:r>
            <w:r w:rsidR="00277B96">
              <w:rPr>
                <w:rFonts w:ascii="Arial Black" w:hAnsi="Arial Black"/>
              </w:rPr>
              <w:t xml:space="preserve"> of Meeting</w:t>
            </w:r>
            <w:r w:rsidR="005441BD" w:rsidRPr="004D7310">
              <w:rPr>
                <w:rFonts w:ascii="Arial Black" w:hAnsi="Arial Black"/>
              </w:rPr>
              <w:t>:</w:t>
            </w:r>
          </w:p>
          <w:p w:rsidR="005441BD" w:rsidRPr="004D7310" w:rsidRDefault="005441BD" w:rsidP="00465E1B">
            <w:pPr>
              <w:pStyle w:val="Infotext"/>
              <w:spacing w:line="276" w:lineRule="auto"/>
              <w:rPr>
                <w:rFonts w:ascii="Arial Black" w:hAnsi="Arial Black" w:cs="Arial"/>
              </w:rPr>
            </w:pPr>
          </w:p>
        </w:tc>
        <w:tc>
          <w:tcPr>
            <w:tcW w:w="5051" w:type="dxa"/>
            <w:tcBorders>
              <w:top w:val="single" w:sz="18" w:space="0" w:color="auto"/>
            </w:tcBorders>
          </w:tcPr>
          <w:p w:rsidR="00472428" w:rsidRDefault="00F05A8A" w:rsidP="00F05A8A">
            <w:pPr>
              <w:pStyle w:val="Infotext"/>
              <w:tabs>
                <w:tab w:val="left" w:pos="1086"/>
              </w:tabs>
              <w:spacing w:line="276" w:lineRule="auto"/>
              <w:rPr>
                <w:rFonts w:cs="Arial"/>
              </w:rPr>
            </w:pPr>
            <w:r>
              <w:rPr>
                <w:rFonts w:cs="Arial"/>
              </w:rPr>
              <w:t>7 January 2020</w:t>
            </w:r>
          </w:p>
          <w:p w:rsidR="00F05A8A" w:rsidRPr="00B370B0" w:rsidRDefault="00F05A8A" w:rsidP="00F05A8A">
            <w:pPr>
              <w:rPr>
                <w:rFonts w:cs="Arial"/>
                <w:b/>
                <w:color w:val="FF0000"/>
              </w:rPr>
            </w:pPr>
            <w:r w:rsidRPr="00362972">
              <w:rPr>
                <w:rFonts w:cs="Arial"/>
              </w:rPr>
              <w:t>[12 November 2019 meeting</w:t>
            </w:r>
            <w:r>
              <w:rPr>
                <w:rFonts w:cs="Arial"/>
              </w:rPr>
              <w:t xml:space="preserve"> postponed</w:t>
            </w:r>
            <w:r w:rsidRPr="00362972">
              <w:rPr>
                <w:rFonts w:cs="Arial"/>
              </w:rPr>
              <w:t>]</w:t>
            </w:r>
          </w:p>
          <w:p w:rsidR="00F05A8A" w:rsidRDefault="00F05A8A" w:rsidP="00F05A8A">
            <w:pPr>
              <w:pStyle w:val="Infotext"/>
              <w:tabs>
                <w:tab w:val="left" w:pos="1086"/>
              </w:tabs>
              <w:spacing w:line="276" w:lineRule="auto"/>
              <w:rPr>
                <w:rFonts w:cs="Arial"/>
              </w:rPr>
            </w:pPr>
            <w:bookmarkStart w:id="0" w:name="_GoBack"/>
            <w:bookmarkEnd w:id="0"/>
          </w:p>
        </w:tc>
      </w:tr>
      <w:tr w:rsidR="005441BD">
        <w:tc>
          <w:tcPr>
            <w:tcW w:w="3474" w:type="dxa"/>
          </w:tcPr>
          <w:p w:rsidR="005441BD" w:rsidRPr="004D7310" w:rsidRDefault="005441BD" w:rsidP="00465E1B">
            <w:pPr>
              <w:pStyle w:val="Infotext"/>
              <w:spacing w:line="276" w:lineRule="auto"/>
              <w:rPr>
                <w:rFonts w:ascii="Arial Black" w:hAnsi="Arial Black" w:cs="Arial"/>
              </w:rPr>
            </w:pPr>
            <w:r w:rsidRPr="004D7310">
              <w:rPr>
                <w:rFonts w:ascii="Arial Black" w:hAnsi="Arial Black" w:cs="Arial"/>
              </w:rPr>
              <w:t>Subject:</w:t>
            </w:r>
          </w:p>
          <w:p w:rsidR="005441BD" w:rsidRPr="004D7310" w:rsidRDefault="005441BD" w:rsidP="00465E1B">
            <w:pPr>
              <w:pStyle w:val="Infotext"/>
              <w:spacing w:line="276" w:lineRule="auto"/>
              <w:rPr>
                <w:rFonts w:ascii="Arial Black" w:hAnsi="Arial Black"/>
              </w:rPr>
            </w:pPr>
          </w:p>
        </w:tc>
        <w:tc>
          <w:tcPr>
            <w:tcW w:w="5051" w:type="dxa"/>
          </w:tcPr>
          <w:p w:rsidR="005441BD" w:rsidRDefault="00472428" w:rsidP="00465E1B">
            <w:pPr>
              <w:pStyle w:val="Infotext"/>
              <w:spacing w:line="276" w:lineRule="auto"/>
              <w:rPr>
                <w:rFonts w:cs="Arial"/>
              </w:rPr>
            </w:pPr>
            <w:r w:rsidRPr="00472428">
              <w:rPr>
                <w:rFonts w:cs="Arial"/>
              </w:rPr>
              <w:t xml:space="preserve">Regeneration Scrutiny Review – </w:t>
            </w:r>
            <w:r w:rsidR="006914A4">
              <w:rPr>
                <w:rFonts w:cs="Arial"/>
              </w:rPr>
              <w:t>P</w:t>
            </w:r>
            <w:r w:rsidRPr="00472428">
              <w:rPr>
                <w:rFonts w:cs="Arial"/>
              </w:rPr>
              <w:t xml:space="preserve">rogress </w:t>
            </w:r>
            <w:r w:rsidR="006914A4">
              <w:rPr>
                <w:rFonts w:cs="Arial"/>
              </w:rPr>
              <w:t>U</w:t>
            </w:r>
            <w:r w:rsidRPr="00472428">
              <w:rPr>
                <w:rFonts w:cs="Arial"/>
              </w:rPr>
              <w:t>pdate</w:t>
            </w:r>
          </w:p>
          <w:p w:rsidR="00472428" w:rsidRDefault="00472428" w:rsidP="00465E1B">
            <w:pPr>
              <w:pStyle w:val="Infotext"/>
              <w:spacing w:line="276" w:lineRule="auto"/>
              <w:rPr>
                <w:rFonts w:cs="Arial"/>
              </w:rPr>
            </w:pPr>
          </w:p>
        </w:tc>
      </w:tr>
      <w:tr w:rsidR="005441BD">
        <w:tc>
          <w:tcPr>
            <w:tcW w:w="3474" w:type="dxa"/>
          </w:tcPr>
          <w:p w:rsidR="005441BD" w:rsidRPr="004D7310" w:rsidRDefault="005441BD" w:rsidP="00465E1B">
            <w:pPr>
              <w:pStyle w:val="Infotext"/>
              <w:spacing w:line="276" w:lineRule="auto"/>
              <w:rPr>
                <w:rFonts w:ascii="Arial Black" w:hAnsi="Arial Black" w:cs="Arial"/>
              </w:rPr>
            </w:pPr>
            <w:r w:rsidRPr="004D7310">
              <w:rPr>
                <w:rFonts w:ascii="Arial Black" w:hAnsi="Arial Black" w:cs="Arial"/>
              </w:rPr>
              <w:t>Responsible Officer:</w:t>
            </w:r>
          </w:p>
          <w:p w:rsidR="005441BD" w:rsidRPr="004D7310" w:rsidRDefault="005441BD" w:rsidP="00465E1B">
            <w:pPr>
              <w:pStyle w:val="Infotext"/>
              <w:spacing w:line="276" w:lineRule="auto"/>
              <w:rPr>
                <w:rFonts w:ascii="Arial Black" w:hAnsi="Arial Black" w:cs="Arial"/>
              </w:rPr>
            </w:pPr>
          </w:p>
        </w:tc>
        <w:tc>
          <w:tcPr>
            <w:tcW w:w="5051" w:type="dxa"/>
          </w:tcPr>
          <w:p w:rsidR="00036698" w:rsidRDefault="00472428" w:rsidP="00465E1B">
            <w:pPr>
              <w:pStyle w:val="Infotext"/>
              <w:spacing w:line="276" w:lineRule="auto"/>
              <w:rPr>
                <w:rFonts w:cs="Arial"/>
              </w:rPr>
            </w:pPr>
            <w:r w:rsidRPr="00472428">
              <w:rPr>
                <w:rFonts w:cs="Arial"/>
              </w:rPr>
              <w:t xml:space="preserve">Paul Walker, Corporate Director </w:t>
            </w:r>
            <w:r w:rsidR="006914A4">
              <w:rPr>
                <w:rFonts w:cs="Arial"/>
              </w:rPr>
              <w:t xml:space="preserve">of </w:t>
            </w:r>
            <w:r w:rsidRPr="00472428">
              <w:rPr>
                <w:rFonts w:cs="Arial"/>
              </w:rPr>
              <w:t>Community</w:t>
            </w:r>
          </w:p>
          <w:p w:rsidR="00472428" w:rsidRDefault="00472428" w:rsidP="00465E1B">
            <w:pPr>
              <w:pStyle w:val="Infotext"/>
              <w:spacing w:line="276" w:lineRule="auto"/>
              <w:rPr>
                <w:rFonts w:cs="Arial"/>
              </w:rPr>
            </w:pPr>
          </w:p>
        </w:tc>
      </w:tr>
      <w:tr w:rsidR="005441BD">
        <w:tc>
          <w:tcPr>
            <w:tcW w:w="3474" w:type="dxa"/>
          </w:tcPr>
          <w:p w:rsidR="005441BD" w:rsidRPr="004D7310" w:rsidRDefault="00FE2F05" w:rsidP="00465E1B">
            <w:pPr>
              <w:pStyle w:val="Infotext"/>
              <w:spacing w:line="276" w:lineRule="auto"/>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rsidP="00465E1B">
            <w:pPr>
              <w:pStyle w:val="Infotext"/>
              <w:spacing w:line="276" w:lineRule="auto"/>
              <w:rPr>
                <w:rFonts w:ascii="Arial Black" w:hAnsi="Arial Black" w:cs="Arial"/>
              </w:rPr>
            </w:pPr>
          </w:p>
        </w:tc>
        <w:tc>
          <w:tcPr>
            <w:tcW w:w="5051" w:type="dxa"/>
          </w:tcPr>
          <w:p w:rsidR="002D4907" w:rsidRDefault="002D4907" w:rsidP="00465E1B">
            <w:pPr>
              <w:pStyle w:val="Infotext"/>
              <w:spacing w:line="276" w:lineRule="auto"/>
              <w:rPr>
                <w:rFonts w:cs="Arial"/>
              </w:rPr>
            </w:pPr>
            <w:r>
              <w:rPr>
                <w:rFonts w:cs="Arial"/>
              </w:rPr>
              <w:t>Community:</w:t>
            </w:r>
          </w:p>
          <w:p w:rsidR="002D4907" w:rsidRPr="002D4907" w:rsidRDefault="002D4907" w:rsidP="00465E1B">
            <w:pPr>
              <w:pStyle w:val="Infotext"/>
              <w:spacing w:line="276" w:lineRule="auto"/>
              <w:rPr>
                <w:rFonts w:cs="Arial"/>
              </w:rPr>
            </w:pPr>
            <w:r w:rsidRPr="002D4907">
              <w:rPr>
                <w:rFonts w:cs="Arial"/>
              </w:rPr>
              <w:t>Councillor Ghazanfar Ali</w:t>
            </w:r>
          </w:p>
          <w:p w:rsidR="005441BD" w:rsidRDefault="002D4907" w:rsidP="00465E1B">
            <w:pPr>
              <w:pStyle w:val="Infotext"/>
              <w:spacing w:line="276" w:lineRule="auto"/>
              <w:rPr>
                <w:rFonts w:cs="Arial"/>
              </w:rPr>
            </w:pPr>
            <w:r w:rsidRPr="002D4907">
              <w:rPr>
                <w:rFonts w:cs="Arial"/>
              </w:rPr>
              <w:t>Councillor Jean Lammiman</w:t>
            </w:r>
          </w:p>
        </w:tc>
      </w:tr>
      <w:tr w:rsidR="005441BD">
        <w:tc>
          <w:tcPr>
            <w:tcW w:w="3474" w:type="dxa"/>
          </w:tcPr>
          <w:p w:rsidR="005441BD" w:rsidRPr="004D7310" w:rsidRDefault="005441BD" w:rsidP="00465E1B">
            <w:pPr>
              <w:pStyle w:val="Infotext"/>
              <w:spacing w:line="276" w:lineRule="auto"/>
              <w:rPr>
                <w:rFonts w:ascii="Arial Black" w:hAnsi="Arial Black" w:cs="Arial"/>
              </w:rPr>
            </w:pPr>
            <w:r w:rsidRPr="004D7310">
              <w:rPr>
                <w:rFonts w:ascii="Arial Black" w:hAnsi="Arial Black" w:cs="Arial"/>
              </w:rPr>
              <w:t>Exempt:</w:t>
            </w:r>
          </w:p>
          <w:p w:rsidR="005441BD" w:rsidRPr="004D7310" w:rsidRDefault="005441BD" w:rsidP="00465E1B">
            <w:pPr>
              <w:pStyle w:val="Infotext"/>
              <w:spacing w:line="276" w:lineRule="auto"/>
              <w:rPr>
                <w:rFonts w:ascii="Arial Black" w:hAnsi="Arial Black" w:cs="Arial"/>
              </w:rPr>
            </w:pPr>
          </w:p>
        </w:tc>
        <w:tc>
          <w:tcPr>
            <w:tcW w:w="5051" w:type="dxa"/>
          </w:tcPr>
          <w:p w:rsidR="005441BD" w:rsidRDefault="005441BD" w:rsidP="00465E1B">
            <w:pPr>
              <w:pStyle w:val="Infotext"/>
              <w:spacing w:line="276" w:lineRule="auto"/>
              <w:rPr>
                <w:rFonts w:cs="Arial"/>
              </w:rPr>
            </w:pPr>
            <w:r>
              <w:rPr>
                <w:rFonts w:cs="Arial"/>
              </w:rPr>
              <w:t>No</w:t>
            </w:r>
          </w:p>
          <w:p w:rsidR="005441BD" w:rsidRDefault="005441BD" w:rsidP="00465E1B">
            <w:pPr>
              <w:pStyle w:val="Infotext"/>
              <w:spacing w:line="276" w:lineRule="auto"/>
              <w:rPr>
                <w:rFonts w:cs="Arial"/>
              </w:rPr>
            </w:pPr>
          </w:p>
        </w:tc>
      </w:tr>
      <w:tr w:rsidR="006377D6">
        <w:tc>
          <w:tcPr>
            <w:tcW w:w="3474" w:type="dxa"/>
          </w:tcPr>
          <w:p w:rsidR="006377D6" w:rsidRPr="004D7310" w:rsidRDefault="006377D6" w:rsidP="00465E1B">
            <w:pPr>
              <w:pStyle w:val="Infotext"/>
              <w:spacing w:line="276" w:lineRule="auto"/>
              <w:rPr>
                <w:rFonts w:ascii="Arial Black" w:hAnsi="Arial Black" w:cs="Arial"/>
              </w:rPr>
            </w:pPr>
            <w:r>
              <w:rPr>
                <w:rFonts w:ascii="Arial Black" w:hAnsi="Arial Black" w:cs="Arial"/>
              </w:rPr>
              <w:t>Wards affected:</w:t>
            </w:r>
          </w:p>
        </w:tc>
        <w:tc>
          <w:tcPr>
            <w:tcW w:w="5051" w:type="dxa"/>
          </w:tcPr>
          <w:p w:rsidR="003A2F0B" w:rsidRPr="003A2F0B" w:rsidRDefault="00472428" w:rsidP="006914A4">
            <w:pPr>
              <w:pStyle w:val="Infotext"/>
              <w:spacing w:line="276" w:lineRule="auto"/>
              <w:rPr>
                <w:b/>
                <w:color w:val="FF0000"/>
              </w:rPr>
            </w:pPr>
            <w:r w:rsidRPr="00472428">
              <w:t xml:space="preserve">All </w:t>
            </w:r>
          </w:p>
        </w:tc>
      </w:tr>
      <w:tr w:rsidR="005441BD">
        <w:tc>
          <w:tcPr>
            <w:tcW w:w="3474" w:type="dxa"/>
          </w:tcPr>
          <w:p w:rsidR="005441BD" w:rsidRPr="004D7310" w:rsidRDefault="005441BD" w:rsidP="00465E1B">
            <w:pPr>
              <w:pStyle w:val="Infotext"/>
              <w:spacing w:line="276" w:lineRule="auto"/>
              <w:rPr>
                <w:rFonts w:ascii="Arial Black" w:hAnsi="Arial Black" w:cs="Arial"/>
              </w:rPr>
            </w:pPr>
          </w:p>
          <w:p w:rsidR="005441BD" w:rsidRPr="004D7310" w:rsidRDefault="005441BD" w:rsidP="00465E1B">
            <w:pPr>
              <w:pStyle w:val="Infotext"/>
              <w:spacing w:line="276" w:lineRule="auto"/>
              <w:rPr>
                <w:rFonts w:ascii="Arial Black" w:hAnsi="Arial Black" w:cs="Arial"/>
              </w:rPr>
            </w:pPr>
            <w:r w:rsidRPr="004D7310">
              <w:rPr>
                <w:rFonts w:ascii="Arial Black" w:hAnsi="Arial Black" w:cs="Arial"/>
              </w:rPr>
              <w:t>Enclosures:</w:t>
            </w:r>
          </w:p>
        </w:tc>
        <w:tc>
          <w:tcPr>
            <w:tcW w:w="5051" w:type="dxa"/>
          </w:tcPr>
          <w:p w:rsidR="005441BD" w:rsidRDefault="005441BD" w:rsidP="00465E1B">
            <w:pPr>
              <w:pStyle w:val="Infotext"/>
              <w:spacing w:line="276" w:lineRule="auto"/>
            </w:pPr>
          </w:p>
          <w:p w:rsidR="005441BD" w:rsidRDefault="00472428" w:rsidP="00465E1B">
            <w:pPr>
              <w:pStyle w:val="Infotext"/>
              <w:spacing w:line="276" w:lineRule="auto"/>
            </w:pPr>
            <w:r>
              <w:t>None</w:t>
            </w:r>
          </w:p>
        </w:tc>
      </w:tr>
      <w:tr w:rsidR="005200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Borders>
              <w:top w:val="nil"/>
              <w:left w:val="nil"/>
              <w:right w:val="nil"/>
            </w:tcBorders>
          </w:tcPr>
          <w:p w:rsidR="006914A4" w:rsidRDefault="00472428" w:rsidP="00465E1B">
            <w:pPr>
              <w:pStyle w:val="Heading1"/>
              <w:spacing w:line="276" w:lineRule="auto"/>
            </w:pPr>
            <w:r>
              <w:br w:type="page"/>
            </w:r>
          </w:p>
          <w:p w:rsidR="005200DF" w:rsidRDefault="005200DF" w:rsidP="00465E1B">
            <w:pPr>
              <w:pStyle w:val="Heading1"/>
              <w:spacing w:line="276" w:lineRule="auto"/>
            </w:pPr>
            <w:r>
              <w:t>Section 1 – Summary and Recommendations</w:t>
            </w:r>
          </w:p>
          <w:p w:rsidR="005200DF" w:rsidRDefault="005200DF" w:rsidP="00465E1B">
            <w:pPr>
              <w:spacing w:line="276" w:lineRule="auto"/>
            </w:pPr>
          </w:p>
        </w:tc>
      </w:tr>
      <w:tr w:rsidR="0054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2"/>
          </w:tcPr>
          <w:p w:rsidR="005441BD" w:rsidRPr="00044682" w:rsidRDefault="00472428" w:rsidP="006914A4">
            <w:pPr>
              <w:pStyle w:val="Heading2"/>
              <w:rPr>
                <w:rFonts w:cs="Times New Roman"/>
                <w:b w:val="0"/>
                <w:bCs w:val="0"/>
                <w:sz w:val="24"/>
                <w:szCs w:val="24"/>
              </w:rPr>
            </w:pPr>
            <w:r w:rsidRPr="00044682">
              <w:rPr>
                <w:rFonts w:cs="Times New Roman"/>
                <w:b w:val="0"/>
                <w:bCs w:val="0"/>
                <w:sz w:val="24"/>
                <w:szCs w:val="24"/>
              </w:rPr>
              <w:t>This report provides a</w:t>
            </w:r>
            <w:r w:rsidR="00CE5450" w:rsidRPr="00044682">
              <w:rPr>
                <w:rFonts w:cs="Times New Roman"/>
                <w:b w:val="0"/>
                <w:bCs w:val="0"/>
                <w:sz w:val="24"/>
                <w:szCs w:val="24"/>
              </w:rPr>
              <w:t xml:space="preserve">n update on </w:t>
            </w:r>
            <w:r w:rsidRPr="00044682">
              <w:rPr>
                <w:rFonts w:cs="Times New Roman"/>
                <w:b w:val="0"/>
                <w:bCs w:val="0"/>
                <w:sz w:val="24"/>
                <w:szCs w:val="24"/>
              </w:rPr>
              <w:t xml:space="preserve">progress </w:t>
            </w:r>
            <w:r w:rsidR="00CE5450" w:rsidRPr="00044682">
              <w:rPr>
                <w:rFonts w:cs="Times New Roman"/>
                <w:b w:val="0"/>
                <w:bCs w:val="0"/>
                <w:sz w:val="24"/>
                <w:szCs w:val="24"/>
              </w:rPr>
              <w:t xml:space="preserve">on the </w:t>
            </w:r>
            <w:r w:rsidRPr="00044682">
              <w:rPr>
                <w:rFonts w:cs="Times New Roman"/>
                <w:b w:val="0"/>
                <w:bCs w:val="0"/>
                <w:sz w:val="24"/>
                <w:szCs w:val="24"/>
              </w:rPr>
              <w:t xml:space="preserve">delivery of </w:t>
            </w:r>
            <w:r w:rsidR="00CE5450" w:rsidRPr="00044682">
              <w:rPr>
                <w:rFonts w:cs="Times New Roman"/>
                <w:b w:val="0"/>
                <w:bCs w:val="0"/>
                <w:sz w:val="24"/>
                <w:szCs w:val="24"/>
              </w:rPr>
              <w:t xml:space="preserve">the </w:t>
            </w:r>
            <w:r w:rsidRPr="00044682">
              <w:rPr>
                <w:rFonts w:cs="Times New Roman"/>
                <w:b w:val="0"/>
                <w:bCs w:val="0"/>
                <w:sz w:val="24"/>
                <w:szCs w:val="24"/>
              </w:rPr>
              <w:t xml:space="preserve">recommendations arising from the Overview and Scrutiny report </w:t>
            </w:r>
            <w:r w:rsidR="00CE5450" w:rsidRPr="00044682">
              <w:rPr>
                <w:rFonts w:cs="Times New Roman"/>
                <w:b w:val="0"/>
                <w:bCs w:val="0"/>
                <w:sz w:val="24"/>
                <w:szCs w:val="24"/>
              </w:rPr>
              <w:t xml:space="preserve">issued in February 2018, </w:t>
            </w:r>
            <w:r w:rsidRPr="00044682">
              <w:rPr>
                <w:rFonts w:cs="Times New Roman"/>
                <w:b w:val="0"/>
                <w:bCs w:val="0"/>
                <w:i/>
                <w:sz w:val="24"/>
                <w:szCs w:val="24"/>
              </w:rPr>
              <w:t>Financing of the Regeneration Programme in Harrow</w:t>
            </w:r>
            <w:r w:rsidR="00CE5450" w:rsidRPr="00044682">
              <w:rPr>
                <w:rFonts w:cs="Times New Roman"/>
                <w:b w:val="0"/>
                <w:bCs w:val="0"/>
                <w:i/>
                <w:sz w:val="24"/>
                <w:szCs w:val="24"/>
              </w:rPr>
              <w:t xml:space="preserve"> </w:t>
            </w:r>
            <w:r w:rsidRPr="00044682">
              <w:rPr>
                <w:rFonts w:cs="Times New Roman"/>
                <w:b w:val="0"/>
                <w:bCs w:val="0"/>
                <w:i/>
                <w:sz w:val="24"/>
                <w:szCs w:val="24"/>
              </w:rPr>
              <w:t>by the Rege</w:t>
            </w:r>
            <w:r w:rsidR="00CE5450" w:rsidRPr="00044682">
              <w:rPr>
                <w:rFonts w:cs="Times New Roman"/>
                <w:b w:val="0"/>
                <w:bCs w:val="0"/>
                <w:i/>
                <w:sz w:val="24"/>
                <w:szCs w:val="24"/>
              </w:rPr>
              <w:t>neration Scrutiny Review Panel</w:t>
            </w:r>
            <w:r w:rsidR="00CE5450" w:rsidRPr="00044682">
              <w:rPr>
                <w:rFonts w:cs="Times New Roman"/>
                <w:b w:val="0"/>
                <w:bCs w:val="0"/>
                <w:sz w:val="24"/>
                <w:szCs w:val="24"/>
              </w:rPr>
              <w:t>.</w:t>
            </w:r>
          </w:p>
          <w:p w:rsidR="00472428" w:rsidRPr="00044682" w:rsidRDefault="00472428" w:rsidP="00465E1B">
            <w:pPr>
              <w:spacing w:line="276" w:lineRule="auto"/>
              <w:rPr>
                <w:szCs w:val="24"/>
              </w:rPr>
            </w:pPr>
          </w:p>
          <w:p w:rsidR="005441BD" w:rsidRDefault="005441BD" w:rsidP="006914A4">
            <w:pPr>
              <w:pStyle w:val="Heading2"/>
            </w:pPr>
            <w:r>
              <w:t xml:space="preserve">Recommendations: </w:t>
            </w:r>
          </w:p>
          <w:p w:rsidR="00CE5450" w:rsidRPr="00044682" w:rsidRDefault="00CE5450" w:rsidP="006914A4">
            <w:pPr>
              <w:rPr>
                <w:szCs w:val="24"/>
              </w:rPr>
            </w:pPr>
            <w:r w:rsidRPr="00044682">
              <w:rPr>
                <w:szCs w:val="24"/>
              </w:rPr>
              <w:t>Overview and Scrutiny is requested to:</w:t>
            </w:r>
          </w:p>
          <w:p w:rsidR="00CE5450" w:rsidRPr="00044682" w:rsidRDefault="00CE5450" w:rsidP="006914A4">
            <w:pPr>
              <w:rPr>
                <w:szCs w:val="24"/>
              </w:rPr>
            </w:pPr>
          </w:p>
          <w:p w:rsidR="005441BD" w:rsidRPr="00044682" w:rsidRDefault="00CE5450" w:rsidP="006914A4">
            <w:pPr>
              <w:numPr>
                <w:ilvl w:val="0"/>
                <w:numId w:val="2"/>
              </w:numPr>
              <w:rPr>
                <w:szCs w:val="24"/>
              </w:rPr>
            </w:pPr>
            <w:r w:rsidRPr="00044682">
              <w:rPr>
                <w:szCs w:val="24"/>
              </w:rPr>
              <w:t>To</w:t>
            </w:r>
            <w:r w:rsidR="00472428" w:rsidRPr="00044682">
              <w:rPr>
                <w:szCs w:val="24"/>
              </w:rPr>
              <w:t xml:space="preserve"> note the </w:t>
            </w:r>
            <w:r w:rsidRPr="00044682">
              <w:rPr>
                <w:szCs w:val="24"/>
              </w:rPr>
              <w:t xml:space="preserve">completed items </w:t>
            </w:r>
            <w:r w:rsidR="00472428" w:rsidRPr="00044682">
              <w:rPr>
                <w:szCs w:val="24"/>
              </w:rPr>
              <w:t>undertaken in response to Regeneration Review recommendations.</w:t>
            </w:r>
          </w:p>
          <w:p w:rsidR="00CE5450" w:rsidRPr="00044682" w:rsidRDefault="00CE5450" w:rsidP="006914A4">
            <w:pPr>
              <w:ind w:left="360"/>
              <w:rPr>
                <w:szCs w:val="24"/>
              </w:rPr>
            </w:pPr>
          </w:p>
          <w:p w:rsidR="00CE5450" w:rsidRPr="00044682" w:rsidRDefault="00CE5450" w:rsidP="006914A4">
            <w:pPr>
              <w:numPr>
                <w:ilvl w:val="0"/>
                <w:numId w:val="2"/>
              </w:numPr>
              <w:rPr>
                <w:szCs w:val="24"/>
              </w:rPr>
            </w:pPr>
            <w:r w:rsidRPr="00044682">
              <w:rPr>
                <w:szCs w:val="24"/>
              </w:rPr>
              <w:lastRenderedPageBreak/>
              <w:t xml:space="preserve">To note that all future reports will focus on the </w:t>
            </w:r>
            <w:r w:rsidR="00763590" w:rsidRPr="00044682">
              <w:rPr>
                <w:szCs w:val="24"/>
              </w:rPr>
              <w:t xml:space="preserve">finalising the remaining recommendations 2, 3, 4 and 11 </w:t>
            </w:r>
            <w:r w:rsidRPr="00044682">
              <w:rPr>
                <w:szCs w:val="24"/>
              </w:rPr>
              <w:t xml:space="preserve">which </w:t>
            </w:r>
            <w:r w:rsidR="00763590" w:rsidRPr="00044682">
              <w:rPr>
                <w:szCs w:val="24"/>
              </w:rPr>
              <w:t xml:space="preserve">will cover the following </w:t>
            </w:r>
            <w:r w:rsidRPr="00044682">
              <w:rPr>
                <w:szCs w:val="24"/>
              </w:rPr>
              <w:t>are</w:t>
            </w:r>
            <w:r w:rsidR="00763590" w:rsidRPr="00044682">
              <w:rPr>
                <w:szCs w:val="24"/>
              </w:rPr>
              <w:t>as</w:t>
            </w:r>
            <w:r w:rsidRPr="00044682">
              <w:rPr>
                <w:szCs w:val="24"/>
              </w:rPr>
              <w:t>:</w:t>
            </w:r>
          </w:p>
          <w:p w:rsidR="00CE5450" w:rsidRPr="00044682" w:rsidRDefault="00CE5450" w:rsidP="00CE5450">
            <w:pPr>
              <w:pStyle w:val="ListParagraph"/>
              <w:rPr>
                <w:sz w:val="24"/>
                <w:szCs w:val="24"/>
              </w:rPr>
            </w:pPr>
          </w:p>
          <w:p w:rsidR="00CE5450" w:rsidRPr="00044682" w:rsidRDefault="00763590" w:rsidP="006914A4">
            <w:pPr>
              <w:numPr>
                <w:ilvl w:val="1"/>
                <w:numId w:val="2"/>
              </w:numPr>
              <w:rPr>
                <w:szCs w:val="24"/>
              </w:rPr>
            </w:pPr>
            <w:r w:rsidRPr="00044682">
              <w:rPr>
                <w:szCs w:val="24"/>
              </w:rPr>
              <w:t xml:space="preserve">Overarching </w:t>
            </w:r>
            <w:r w:rsidR="00CE5450" w:rsidRPr="00044682">
              <w:rPr>
                <w:szCs w:val="24"/>
              </w:rPr>
              <w:t>Infrastruc</w:t>
            </w:r>
            <w:r w:rsidRPr="00044682">
              <w:rPr>
                <w:szCs w:val="24"/>
              </w:rPr>
              <w:t xml:space="preserve">ture </w:t>
            </w:r>
            <w:r w:rsidR="00CE5450" w:rsidRPr="00044682">
              <w:rPr>
                <w:szCs w:val="24"/>
              </w:rPr>
              <w:t>Plan</w:t>
            </w:r>
          </w:p>
          <w:p w:rsidR="00763590" w:rsidRPr="00044682" w:rsidRDefault="00763590" w:rsidP="006914A4">
            <w:pPr>
              <w:numPr>
                <w:ilvl w:val="1"/>
                <w:numId w:val="2"/>
              </w:numPr>
              <w:rPr>
                <w:szCs w:val="24"/>
              </w:rPr>
            </w:pPr>
            <w:r w:rsidRPr="00044682">
              <w:rPr>
                <w:szCs w:val="24"/>
              </w:rPr>
              <w:t>Council Lobbying Strategy</w:t>
            </w:r>
          </w:p>
          <w:p w:rsidR="00CE5450" w:rsidRPr="00044682" w:rsidRDefault="00763590" w:rsidP="006914A4">
            <w:pPr>
              <w:numPr>
                <w:ilvl w:val="1"/>
                <w:numId w:val="2"/>
              </w:numPr>
              <w:rPr>
                <w:szCs w:val="24"/>
              </w:rPr>
            </w:pPr>
            <w:r w:rsidRPr="00044682">
              <w:rPr>
                <w:szCs w:val="24"/>
              </w:rPr>
              <w:t>Cross Party Engagement</w:t>
            </w:r>
            <w:r w:rsidR="006914A4" w:rsidRPr="00044682">
              <w:rPr>
                <w:szCs w:val="24"/>
              </w:rPr>
              <w:t>.</w:t>
            </w:r>
          </w:p>
          <w:p w:rsidR="00AF334B" w:rsidRPr="00CE5450" w:rsidRDefault="00AF334B" w:rsidP="006914A4">
            <w:pPr>
              <w:spacing w:line="276" w:lineRule="auto"/>
              <w:rPr>
                <w:sz w:val="22"/>
                <w:szCs w:val="22"/>
              </w:rPr>
            </w:pPr>
          </w:p>
        </w:tc>
      </w:tr>
    </w:tbl>
    <w:p w:rsidR="005441BD" w:rsidRDefault="005441BD" w:rsidP="00465E1B">
      <w:pPr>
        <w:pStyle w:val="Heading1"/>
        <w:spacing w:line="276" w:lineRule="auto"/>
        <w:rPr>
          <w:rFonts w:ascii="Arial" w:hAnsi="Arial"/>
          <w:b/>
          <w:sz w:val="24"/>
          <w:szCs w:val="24"/>
        </w:rPr>
      </w:pPr>
    </w:p>
    <w:p w:rsidR="005441BD" w:rsidRDefault="005441BD" w:rsidP="00D647F3">
      <w:pPr>
        <w:pStyle w:val="Heading1"/>
        <w:jc w:val="both"/>
      </w:pPr>
      <w:r>
        <w:t>Section 2 – Report</w:t>
      </w:r>
    </w:p>
    <w:p w:rsidR="005441BD" w:rsidRDefault="005441BD" w:rsidP="00D647F3"/>
    <w:p w:rsidR="005441BD" w:rsidRPr="00044C51" w:rsidRDefault="00763590" w:rsidP="00D647F3">
      <w:pPr>
        <w:pStyle w:val="Heading2"/>
      </w:pPr>
      <w:r>
        <w:t>Introductory paragraph</w:t>
      </w:r>
    </w:p>
    <w:p w:rsidR="005441BD" w:rsidRPr="00763590" w:rsidRDefault="005441BD" w:rsidP="00D647F3">
      <w:pPr>
        <w:rPr>
          <w:sz w:val="22"/>
          <w:szCs w:val="22"/>
        </w:rPr>
      </w:pPr>
    </w:p>
    <w:p w:rsidR="000D0A73" w:rsidRPr="00044682" w:rsidRDefault="00763590" w:rsidP="00D647F3">
      <w:pPr>
        <w:numPr>
          <w:ilvl w:val="1"/>
          <w:numId w:val="3"/>
        </w:numPr>
        <w:jc w:val="both"/>
        <w:rPr>
          <w:szCs w:val="24"/>
        </w:rPr>
      </w:pPr>
      <w:r w:rsidRPr="00044682">
        <w:rPr>
          <w:szCs w:val="24"/>
        </w:rPr>
        <w:t>The Regeneration Scrutiny Review Panel was established in to scrutinise the Council’s Regeneration Programme and for its members to gain a greater understanding and clarity of the financing of the Regeneration Programme.  Furthermore, its focus was to carry out a review on the projected benefits of the Regeneration Programme and appraise the projected financial benefits of the Programme. In February 2018, t</w:t>
      </w:r>
      <w:r w:rsidR="00044C51" w:rsidRPr="00044682">
        <w:rPr>
          <w:szCs w:val="24"/>
        </w:rPr>
        <w:t xml:space="preserve">he Regeneration Scrutiny Review Panel published their report </w:t>
      </w:r>
      <w:r w:rsidR="00044C51" w:rsidRPr="00044682">
        <w:rPr>
          <w:i/>
          <w:szCs w:val="24"/>
        </w:rPr>
        <w:t>Financing of the Regeneration Programme in Harrow</w:t>
      </w:r>
      <w:r w:rsidRPr="00044682">
        <w:rPr>
          <w:i/>
          <w:szCs w:val="24"/>
        </w:rPr>
        <w:t>,</w:t>
      </w:r>
      <w:r w:rsidRPr="00044682">
        <w:rPr>
          <w:szCs w:val="24"/>
        </w:rPr>
        <w:t xml:space="preserve"> the reports</w:t>
      </w:r>
      <w:r w:rsidR="008248AB" w:rsidRPr="00044682">
        <w:rPr>
          <w:szCs w:val="24"/>
        </w:rPr>
        <w:t xml:space="preserve"> </w:t>
      </w:r>
      <w:r w:rsidRPr="00044682">
        <w:rPr>
          <w:szCs w:val="24"/>
        </w:rPr>
        <w:t>set out</w:t>
      </w:r>
      <w:r w:rsidR="00044C51" w:rsidRPr="00044682">
        <w:rPr>
          <w:szCs w:val="24"/>
        </w:rPr>
        <w:t xml:space="preserve"> the findings and recommendations of the Panel</w:t>
      </w:r>
      <w:r w:rsidRPr="00044682">
        <w:rPr>
          <w:szCs w:val="24"/>
        </w:rPr>
        <w:t xml:space="preserve">.  </w:t>
      </w:r>
    </w:p>
    <w:p w:rsidR="000D0A73" w:rsidRPr="00044682" w:rsidRDefault="000D0A73" w:rsidP="00D647F3">
      <w:pPr>
        <w:ind w:left="360"/>
        <w:jc w:val="both"/>
        <w:rPr>
          <w:szCs w:val="24"/>
        </w:rPr>
      </w:pPr>
    </w:p>
    <w:p w:rsidR="000D0A73" w:rsidRPr="00044682" w:rsidRDefault="00044C51" w:rsidP="00D647F3">
      <w:pPr>
        <w:numPr>
          <w:ilvl w:val="1"/>
          <w:numId w:val="3"/>
        </w:numPr>
        <w:jc w:val="both"/>
        <w:rPr>
          <w:szCs w:val="24"/>
        </w:rPr>
      </w:pPr>
      <w:r w:rsidRPr="00044682">
        <w:rPr>
          <w:szCs w:val="24"/>
        </w:rPr>
        <w:t xml:space="preserve">The scrutiny review involved desk research, two Challenge Panels, and two field visits. </w:t>
      </w:r>
      <w:r w:rsidR="00763590" w:rsidRPr="00044682">
        <w:rPr>
          <w:szCs w:val="24"/>
        </w:rPr>
        <w:t xml:space="preserve">The report finalised in </w:t>
      </w:r>
      <w:r w:rsidRPr="00044682">
        <w:rPr>
          <w:szCs w:val="24"/>
        </w:rPr>
        <w:t>17 recommendations</w:t>
      </w:r>
      <w:r w:rsidR="00763590" w:rsidRPr="00044682">
        <w:rPr>
          <w:szCs w:val="24"/>
        </w:rPr>
        <w:t xml:space="preserve"> which were</w:t>
      </w:r>
      <w:r w:rsidRPr="00044682">
        <w:rPr>
          <w:szCs w:val="24"/>
        </w:rPr>
        <w:t xml:space="preserve"> based on evidence </w:t>
      </w:r>
      <w:r w:rsidR="000D0A73" w:rsidRPr="00044682">
        <w:rPr>
          <w:szCs w:val="24"/>
        </w:rPr>
        <w:t xml:space="preserve">gathered </w:t>
      </w:r>
      <w:r w:rsidRPr="00044682">
        <w:rPr>
          <w:szCs w:val="24"/>
        </w:rPr>
        <w:t>from local data, information ga</w:t>
      </w:r>
      <w:r w:rsidR="000D0A73" w:rsidRPr="00044682">
        <w:rPr>
          <w:szCs w:val="24"/>
        </w:rPr>
        <w:t>rnered from hosting authorities</w:t>
      </w:r>
      <w:r w:rsidRPr="00044682">
        <w:rPr>
          <w:szCs w:val="24"/>
        </w:rPr>
        <w:t xml:space="preserve"> and from seni</w:t>
      </w:r>
      <w:r w:rsidR="000D0A73" w:rsidRPr="00044682">
        <w:rPr>
          <w:szCs w:val="24"/>
        </w:rPr>
        <w:t xml:space="preserve">or council officers and members. </w:t>
      </w:r>
    </w:p>
    <w:p w:rsidR="000D0A73" w:rsidRPr="00044682" w:rsidRDefault="000D0A73" w:rsidP="00D647F3">
      <w:pPr>
        <w:pStyle w:val="ListParagraph"/>
        <w:rPr>
          <w:sz w:val="24"/>
          <w:szCs w:val="24"/>
        </w:rPr>
      </w:pPr>
    </w:p>
    <w:p w:rsidR="00044C51" w:rsidRPr="00044682" w:rsidRDefault="000D0A73" w:rsidP="00D647F3">
      <w:pPr>
        <w:numPr>
          <w:ilvl w:val="1"/>
          <w:numId w:val="3"/>
        </w:numPr>
        <w:jc w:val="both"/>
        <w:rPr>
          <w:szCs w:val="24"/>
        </w:rPr>
      </w:pPr>
      <w:r w:rsidRPr="00044682">
        <w:rPr>
          <w:szCs w:val="24"/>
        </w:rPr>
        <w:t>The i</w:t>
      </w:r>
      <w:r w:rsidR="00044C51" w:rsidRPr="00044682">
        <w:rPr>
          <w:szCs w:val="24"/>
        </w:rPr>
        <w:t>nitial response to these recomme</w:t>
      </w:r>
      <w:r w:rsidR="003B1C7B" w:rsidRPr="00044682">
        <w:rPr>
          <w:szCs w:val="24"/>
        </w:rPr>
        <w:t>ndations was provided in a report</w:t>
      </w:r>
      <w:r w:rsidR="00044C51" w:rsidRPr="00044682">
        <w:rPr>
          <w:szCs w:val="24"/>
        </w:rPr>
        <w:t xml:space="preserve"> to Cabinet on 21 June 2018.</w:t>
      </w:r>
      <w:r w:rsidRPr="00044682">
        <w:rPr>
          <w:szCs w:val="24"/>
        </w:rPr>
        <w:t xml:space="preserve">  </w:t>
      </w:r>
      <w:r w:rsidR="00044C51" w:rsidRPr="00044682">
        <w:rPr>
          <w:i/>
          <w:szCs w:val="24"/>
        </w:rPr>
        <w:t>Financing of the Regeneration Programme in Harrow</w:t>
      </w:r>
      <w:r w:rsidR="00044C51" w:rsidRPr="00044682">
        <w:rPr>
          <w:szCs w:val="24"/>
        </w:rPr>
        <w:t xml:space="preserve"> </w:t>
      </w:r>
      <w:r w:rsidRPr="00044682">
        <w:rPr>
          <w:szCs w:val="24"/>
        </w:rPr>
        <w:t>which can be located on the following link</w:t>
      </w:r>
      <w:r w:rsidR="00044C51" w:rsidRPr="00044682">
        <w:rPr>
          <w:szCs w:val="24"/>
        </w:rPr>
        <w:t>:</w:t>
      </w:r>
      <w:r w:rsidRPr="00044682">
        <w:rPr>
          <w:szCs w:val="24"/>
        </w:rPr>
        <w:t xml:space="preserve"> </w:t>
      </w:r>
    </w:p>
    <w:p w:rsidR="000D0A73" w:rsidRPr="00044682" w:rsidRDefault="00F05A8A" w:rsidP="00D647F3">
      <w:pPr>
        <w:ind w:left="360"/>
        <w:rPr>
          <w:color w:val="0000FF"/>
          <w:szCs w:val="24"/>
        </w:rPr>
      </w:pPr>
      <w:hyperlink r:id="rId10" w:history="1">
        <w:r w:rsidR="000D0A73" w:rsidRPr="00044682">
          <w:rPr>
            <w:rStyle w:val="Hyperlink"/>
            <w:szCs w:val="24"/>
          </w:rPr>
          <w:t>http://moderngov:8080/documents/s150199/Regeneration%20Scrutiny%20Panel%20-%20Final%20Report%20-%20March%20Cabinet.pdf</w:t>
        </w:r>
      </w:hyperlink>
    </w:p>
    <w:p w:rsidR="001E29FB" w:rsidRDefault="001E29FB" w:rsidP="00D647F3">
      <w:pPr>
        <w:pStyle w:val="ListParagraph"/>
      </w:pPr>
    </w:p>
    <w:p w:rsidR="001E29FB" w:rsidRPr="001E29FB" w:rsidRDefault="001E29FB" w:rsidP="00D647F3">
      <w:pPr>
        <w:pStyle w:val="ListParagraph"/>
        <w:ind w:left="0"/>
        <w:rPr>
          <w:b/>
          <w:sz w:val="28"/>
          <w:szCs w:val="28"/>
        </w:rPr>
      </w:pPr>
      <w:r w:rsidRPr="001E29FB">
        <w:rPr>
          <w:b/>
          <w:sz w:val="28"/>
          <w:szCs w:val="28"/>
        </w:rPr>
        <w:t>Harrow Strategi</w:t>
      </w:r>
      <w:r>
        <w:rPr>
          <w:b/>
          <w:sz w:val="28"/>
          <w:szCs w:val="28"/>
        </w:rPr>
        <w:t>c Development Partnership</w:t>
      </w:r>
      <w:r w:rsidRPr="001E29FB">
        <w:rPr>
          <w:b/>
          <w:sz w:val="28"/>
          <w:szCs w:val="28"/>
        </w:rPr>
        <w:t>:</w:t>
      </w:r>
    </w:p>
    <w:p w:rsidR="001E29FB" w:rsidRDefault="001E29FB" w:rsidP="00D647F3">
      <w:pPr>
        <w:pStyle w:val="ListParagraph"/>
        <w:ind w:left="360"/>
      </w:pPr>
    </w:p>
    <w:p w:rsidR="000164DB" w:rsidRPr="00044682" w:rsidRDefault="003B1C7B" w:rsidP="00D647F3">
      <w:pPr>
        <w:numPr>
          <w:ilvl w:val="1"/>
          <w:numId w:val="3"/>
        </w:numPr>
        <w:jc w:val="both"/>
        <w:rPr>
          <w:szCs w:val="24"/>
        </w:rPr>
      </w:pPr>
      <w:r w:rsidRPr="00044682">
        <w:rPr>
          <w:szCs w:val="24"/>
        </w:rPr>
        <w:t>Since the completion of the Rege</w:t>
      </w:r>
      <w:r w:rsidR="0051247C" w:rsidRPr="00044682">
        <w:rPr>
          <w:szCs w:val="24"/>
        </w:rPr>
        <w:t>ne</w:t>
      </w:r>
      <w:r w:rsidRPr="00044682">
        <w:rPr>
          <w:szCs w:val="24"/>
        </w:rPr>
        <w:t>ration Scrutiny Review Panel in</w:t>
      </w:r>
      <w:r w:rsidR="000D0A73" w:rsidRPr="00044682">
        <w:rPr>
          <w:szCs w:val="24"/>
        </w:rPr>
        <w:t xml:space="preserve"> May 201</w:t>
      </w:r>
      <w:r w:rsidRPr="00044682">
        <w:rPr>
          <w:szCs w:val="24"/>
        </w:rPr>
        <w:t>7</w:t>
      </w:r>
      <w:r w:rsidR="000D0A73" w:rsidRPr="00044682">
        <w:rPr>
          <w:szCs w:val="24"/>
        </w:rPr>
        <w:t xml:space="preserve">, the Cabinet approved to the commencement of the procurement exercise to identify a Strategic Development Partner for Harrow Council.  </w:t>
      </w:r>
    </w:p>
    <w:p w:rsidR="000164DB" w:rsidRPr="00044682" w:rsidRDefault="00F05A8A" w:rsidP="00D647F3">
      <w:pPr>
        <w:ind w:left="360"/>
        <w:jc w:val="both"/>
        <w:rPr>
          <w:szCs w:val="24"/>
        </w:rPr>
      </w:pPr>
      <w:hyperlink r:id="rId11" w:history="1">
        <w:r w:rsidR="00FC270D" w:rsidRPr="00044682">
          <w:rPr>
            <w:rStyle w:val="Hyperlink"/>
            <w:szCs w:val="24"/>
          </w:rPr>
          <w:t>https://www2.harrow.gov.uk/documents/s156670/SDP%20-%20Final%20cover%20report.pdf</w:t>
        </w:r>
      </w:hyperlink>
    </w:p>
    <w:p w:rsidR="00FC270D" w:rsidRPr="00044682" w:rsidRDefault="00FC270D" w:rsidP="00D647F3">
      <w:pPr>
        <w:ind w:left="360"/>
        <w:jc w:val="both"/>
        <w:rPr>
          <w:szCs w:val="24"/>
        </w:rPr>
      </w:pPr>
    </w:p>
    <w:p w:rsidR="00D51224" w:rsidRPr="00044682" w:rsidRDefault="000D0A73" w:rsidP="00D647F3">
      <w:pPr>
        <w:numPr>
          <w:ilvl w:val="1"/>
          <w:numId w:val="3"/>
        </w:numPr>
        <w:jc w:val="both"/>
        <w:rPr>
          <w:szCs w:val="24"/>
        </w:rPr>
      </w:pPr>
      <w:r w:rsidRPr="00044682">
        <w:rPr>
          <w:szCs w:val="24"/>
        </w:rPr>
        <w:t xml:space="preserve">The report considered a number of possible procurement routes and recommended </w:t>
      </w:r>
      <w:r w:rsidR="00D51224" w:rsidRPr="00044682">
        <w:rPr>
          <w:szCs w:val="24"/>
        </w:rPr>
        <w:t xml:space="preserve">Strategic Development Partnership </w:t>
      </w:r>
      <w:r w:rsidR="001E29FB" w:rsidRPr="00044682">
        <w:rPr>
          <w:szCs w:val="24"/>
        </w:rPr>
        <w:t xml:space="preserve">route </w:t>
      </w:r>
      <w:r w:rsidR="00D51224" w:rsidRPr="00044682">
        <w:rPr>
          <w:szCs w:val="24"/>
        </w:rPr>
        <w:t xml:space="preserve">as </w:t>
      </w:r>
      <w:r w:rsidR="001E29FB" w:rsidRPr="00044682">
        <w:rPr>
          <w:szCs w:val="24"/>
        </w:rPr>
        <w:t xml:space="preserve">this most appropriate as </w:t>
      </w:r>
      <w:r w:rsidR="00D51224" w:rsidRPr="00044682">
        <w:rPr>
          <w:szCs w:val="24"/>
        </w:rPr>
        <w:t xml:space="preserve">this option would offer the Council the greatest chance of achieving regeneration and development on a scale consistent with the Council’s ambitions and objectives and enabling the wider economic and social benefits the Council requires. </w:t>
      </w:r>
    </w:p>
    <w:p w:rsidR="00D51224" w:rsidRPr="00044682" w:rsidRDefault="00D51224" w:rsidP="00D647F3">
      <w:pPr>
        <w:ind w:left="360"/>
        <w:jc w:val="both"/>
        <w:rPr>
          <w:szCs w:val="24"/>
        </w:rPr>
      </w:pPr>
    </w:p>
    <w:p w:rsidR="001E29FB" w:rsidRPr="00044682" w:rsidRDefault="00D51224" w:rsidP="00D647F3">
      <w:pPr>
        <w:numPr>
          <w:ilvl w:val="1"/>
          <w:numId w:val="3"/>
        </w:numPr>
        <w:jc w:val="both"/>
        <w:rPr>
          <w:szCs w:val="24"/>
        </w:rPr>
      </w:pPr>
      <w:r w:rsidRPr="00044682">
        <w:rPr>
          <w:szCs w:val="24"/>
        </w:rPr>
        <w:t xml:space="preserve">The Harrow Strategic Development Partnership (HSDP) is intended to deliver housing and regeneration across the borough via a new private entity which </w:t>
      </w:r>
      <w:r w:rsidRPr="00044682">
        <w:rPr>
          <w:szCs w:val="24"/>
        </w:rPr>
        <w:lastRenderedPageBreak/>
        <w:t>would be owned 50% by the Council and 50% by the private sector partner.  The HSDP is anticipated to take the form of a Limited Liability Partnership and is anticipated to be over 30-35 years</w:t>
      </w:r>
      <w:r w:rsidR="001E29FB" w:rsidRPr="00044682">
        <w:rPr>
          <w:szCs w:val="24"/>
        </w:rPr>
        <w:t xml:space="preserve">.  </w:t>
      </w:r>
    </w:p>
    <w:p w:rsidR="00D51224" w:rsidRPr="00044682" w:rsidRDefault="00D51224" w:rsidP="00D647F3">
      <w:pPr>
        <w:ind w:left="360"/>
        <w:jc w:val="both"/>
        <w:rPr>
          <w:szCs w:val="24"/>
        </w:rPr>
      </w:pPr>
    </w:p>
    <w:p w:rsidR="001E29FB" w:rsidRPr="00044682" w:rsidRDefault="001E29FB" w:rsidP="00D647F3">
      <w:pPr>
        <w:numPr>
          <w:ilvl w:val="1"/>
          <w:numId w:val="3"/>
        </w:numPr>
        <w:jc w:val="both"/>
        <w:rPr>
          <w:szCs w:val="24"/>
        </w:rPr>
      </w:pPr>
      <w:r w:rsidRPr="00044682">
        <w:rPr>
          <w:szCs w:val="24"/>
        </w:rPr>
        <w:t xml:space="preserve">Ahead of the procurement process the Council needed to identify core sites that would be included in the new vehicle.  </w:t>
      </w:r>
    </w:p>
    <w:p w:rsidR="001E29FB" w:rsidRPr="00044682" w:rsidRDefault="001E29FB" w:rsidP="00D647F3">
      <w:pPr>
        <w:pStyle w:val="ListParagraph"/>
        <w:rPr>
          <w:sz w:val="24"/>
          <w:szCs w:val="24"/>
        </w:rPr>
      </w:pPr>
    </w:p>
    <w:p w:rsidR="000D0A73" w:rsidRPr="00044682" w:rsidRDefault="000D0A73" w:rsidP="00D647F3">
      <w:pPr>
        <w:numPr>
          <w:ilvl w:val="1"/>
          <w:numId w:val="3"/>
        </w:numPr>
        <w:jc w:val="both"/>
        <w:rPr>
          <w:szCs w:val="24"/>
        </w:rPr>
      </w:pPr>
      <w:r w:rsidRPr="00044682">
        <w:rPr>
          <w:szCs w:val="24"/>
        </w:rPr>
        <w:t xml:space="preserve">Following a </w:t>
      </w:r>
      <w:r w:rsidR="00D51224" w:rsidRPr="00044682">
        <w:rPr>
          <w:szCs w:val="24"/>
        </w:rPr>
        <w:t xml:space="preserve">detailed </w:t>
      </w:r>
      <w:r w:rsidRPr="00044682">
        <w:rPr>
          <w:szCs w:val="24"/>
        </w:rPr>
        <w:t xml:space="preserve">review of the Council owned sites that would have the greatest impact and contribution to regeneration </w:t>
      </w:r>
      <w:r w:rsidR="00D51224" w:rsidRPr="00044682">
        <w:rPr>
          <w:szCs w:val="24"/>
        </w:rPr>
        <w:t>within</w:t>
      </w:r>
      <w:r w:rsidRPr="00044682">
        <w:rPr>
          <w:szCs w:val="24"/>
        </w:rPr>
        <w:t xml:space="preserve"> Harrow’s Area of Opportunity.  Three sites were identified:  the Councils flagship regeneration site Poets Corner</w:t>
      </w:r>
      <w:r w:rsidR="001E29FB" w:rsidRPr="00044682">
        <w:rPr>
          <w:szCs w:val="24"/>
        </w:rPr>
        <w:t xml:space="preserve"> (which currently houses the Council’s existing Civic Centre)</w:t>
      </w:r>
      <w:r w:rsidRPr="00044682">
        <w:rPr>
          <w:szCs w:val="24"/>
        </w:rPr>
        <w:t xml:space="preserve">, Peel Road </w:t>
      </w:r>
      <w:r w:rsidR="001E29FB" w:rsidRPr="00044682">
        <w:rPr>
          <w:szCs w:val="24"/>
        </w:rPr>
        <w:t xml:space="preserve">(which is the Council’s preference for the New Civic Centre) </w:t>
      </w:r>
      <w:r w:rsidRPr="00044682">
        <w:rPr>
          <w:szCs w:val="24"/>
        </w:rPr>
        <w:t xml:space="preserve">and Byron Quarter (Phase 1).  </w:t>
      </w:r>
    </w:p>
    <w:p w:rsidR="002311D1" w:rsidRPr="00044682" w:rsidRDefault="002311D1" w:rsidP="00D647F3">
      <w:pPr>
        <w:pStyle w:val="ListParagraph"/>
        <w:rPr>
          <w:sz w:val="24"/>
          <w:szCs w:val="24"/>
        </w:rPr>
      </w:pPr>
    </w:p>
    <w:p w:rsidR="002311D1" w:rsidRPr="00044682" w:rsidRDefault="002311D1" w:rsidP="00D647F3">
      <w:pPr>
        <w:numPr>
          <w:ilvl w:val="1"/>
          <w:numId w:val="3"/>
        </w:numPr>
        <w:jc w:val="both"/>
        <w:rPr>
          <w:szCs w:val="24"/>
        </w:rPr>
      </w:pPr>
      <w:r w:rsidRPr="00044682">
        <w:rPr>
          <w:szCs w:val="24"/>
        </w:rPr>
        <w:t>The partnership will be responsible for the construction of the Councils New Civic Centre, maximising affordable housing across the 3 core sites and all at no cost to the Councils general fund.</w:t>
      </w:r>
    </w:p>
    <w:p w:rsidR="002311D1" w:rsidRPr="00044682" w:rsidRDefault="002311D1" w:rsidP="00D647F3">
      <w:pPr>
        <w:pStyle w:val="ListParagraph"/>
        <w:rPr>
          <w:sz w:val="24"/>
          <w:szCs w:val="24"/>
        </w:rPr>
      </w:pPr>
    </w:p>
    <w:p w:rsidR="001337A3" w:rsidRPr="00434092" w:rsidRDefault="00156BDD" w:rsidP="00044682">
      <w:pPr>
        <w:numPr>
          <w:ilvl w:val="1"/>
          <w:numId w:val="3"/>
        </w:numPr>
        <w:ind w:left="426" w:hanging="426"/>
        <w:jc w:val="both"/>
        <w:rPr>
          <w:sz w:val="22"/>
          <w:szCs w:val="22"/>
        </w:rPr>
      </w:pPr>
      <w:r w:rsidRPr="00044682">
        <w:rPr>
          <w:szCs w:val="24"/>
        </w:rPr>
        <w:t xml:space="preserve">In June 2019, the Council launched its procurement exercise for Harrow Strategic Partnership.  The procurement process has successfully completed the Submission Questionnaire and </w:t>
      </w:r>
      <w:r w:rsidR="002311D1" w:rsidRPr="00044682">
        <w:rPr>
          <w:szCs w:val="24"/>
        </w:rPr>
        <w:t>Invitation for Outline S</w:t>
      </w:r>
      <w:r w:rsidRPr="00044682">
        <w:rPr>
          <w:szCs w:val="24"/>
        </w:rPr>
        <w:t xml:space="preserve">olutions </w:t>
      </w:r>
      <w:r w:rsidR="002311D1" w:rsidRPr="00044682">
        <w:rPr>
          <w:szCs w:val="24"/>
        </w:rPr>
        <w:t xml:space="preserve">which has included detailed dialogue sessions with the prospective bidders.  The </w:t>
      </w:r>
      <w:r w:rsidRPr="00044682">
        <w:rPr>
          <w:szCs w:val="24"/>
        </w:rPr>
        <w:t xml:space="preserve">next stage </w:t>
      </w:r>
      <w:r w:rsidR="002311D1" w:rsidRPr="00044682">
        <w:rPr>
          <w:szCs w:val="24"/>
        </w:rPr>
        <w:t xml:space="preserve">Invitation for Detailed Solutions </w:t>
      </w:r>
      <w:r w:rsidRPr="00044682">
        <w:rPr>
          <w:szCs w:val="24"/>
        </w:rPr>
        <w:t>will commence in Nov 2019</w:t>
      </w:r>
      <w:r w:rsidR="002311D1" w:rsidRPr="00044682">
        <w:rPr>
          <w:szCs w:val="24"/>
        </w:rPr>
        <w:t xml:space="preserve">.  The procurement exercise is programmed to complete in April 2020.  The ultimate decision on the </w:t>
      </w:r>
      <w:r w:rsidR="00125C25" w:rsidRPr="00044682">
        <w:rPr>
          <w:szCs w:val="24"/>
        </w:rPr>
        <w:t>appointment of</w:t>
      </w:r>
      <w:r w:rsidR="002311D1" w:rsidRPr="00044682">
        <w:rPr>
          <w:szCs w:val="24"/>
        </w:rPr>
        <w:t xml:space="preserve"> the Harrow Strategic Partner will be made by Cabinet this is currently anticipated to be in June 2020</w:t>
      </w:r>
      <w:r w:rsidR="002311D1" w:rsidRPr="00434092">
        <w:rPr>
          <w:sz w:val="22"/>
          <w:szCs w:val="22"/>
        </w:rPr>
        <w:t>.</w:t>
      </w:r>
    </w:p>
    <w:p w:rsidR="00D647F3" w:rsidRDefault="00D647F3" w:rsidP="00D647F3">
      <w:pPr>
        <w:pStyle w:val="Heading1"/>
        <w:jc w:val="both"/>
      </w:pPr>
    </w:p>
    <w:p w:rsidR="002311D1" w:rsidRDefault="002311D1" w:rsidP="00D647F3">
      <w:pPr>
        <w:pStyle w:val="Heading1"/>
        <w:jc w:val="both"/>
      </w:pPr>
      <w:r>
        <w:t>Section 3 – Report</w:t>
      </w:r>
    </w:p>
    <w:p w:rsidR="002311D1" w:rsidRPr="002311D1" w:rsidRDefault="002311D1" w:rsidP="00D647F3"/>
    <w:p w:rsidR="001337A3" w:rsidRPr="002311D1" w:rsidRDefault="002311D1" w:rsidP="00D647F3">
      <w:pPr>
        <w:pStyle w:val="Heading2"/>
      </w:pPr>
      <w:r w:rsidRPr="002311D1">
        <w:t>Overview and S</w:t>
      </w:r>
      <w:r w:rsidR="001337A3" w:rsidRPr="002311D1">
        <w:t xml:space="preserve">crutiny </w:t>
      </w:r>
      <w:r w:rsidRPr="002311D1">
        <w:t>Report R</w:t>
      </w:r>
      <w:r w:rsidR="001337A3" w:rsidRPr="002311D1">
        <w:t>ecommendations</w:t>
      </w:r>
    </w:p>
    <w:p w:rsidR="002311D1" w:rsidRPr="002311D1" w:rsidRDefault="002311D1" w:rsidP="00D647F3">
      <w:pPr>
        <w:rPr>
          <w:b/>
        </w:rPr>
      </w:pPr>
    </w:p>
    <w:p w:rsidR="002311D1" w:rsidRPr="002311D1" w:rsidRDefault="002311D1" w:rsidP="00D647F3">
      <w:pPr>
        <w:rPr>
          <w:b/>
          <w:sz w:val="28"/>
          <w:szCs w:val="28"/>
        </w:rPr>
      </w:pPr>
      <w:r w:rsidRPr="002311D1">
        <w:rPr>
          <w:b/>
          <w:sz w:val="28"/>
          <w:szCs w:val="28"/>
        </w:rPr>
        <w:t>Update on Progress</w:t>
      </w:r>
    </w:p>
    <w:p w:rsidR="001337A3" w:rsidRDefault="001337A3" w:rsidP="00D647F3">
      <w:pPr>
        <w:pStyle w:val="Heading2"/>
        <w:rPr>
          <w:color w:val="0000FF"/>
        </w:rPr>
      </w:pPr>
    </w:p>
    <w:p w:rsidR="00434092" w:rsidRPr="00044682" w:rsidRDefault="00434092" w:rsidP="00D647F3">
      <w:pPr>
        <w:pStyle w:val="ListParagraph"/>
        <w:numPr>
          <w:ilvl w:val="1"/>
          <w:numId w:val="4"/>
        </w:numPr>
        <w:jc w:val="both"/>
        <w:rPr>
          <w:sz w:val="24"/>
          <w:szCs w:val="24"/>
        </w:rPr>
      </w:pPr>
      <w:r w:rsidRPr="00044682">
        <w:rPr>
          <w:sz w:val="24"/>
          <w:szCs w:val="24"/>
        </w:rPr>
        <w:t xml:space="preserve">The information below details out an </w:t>
      </w:r>
      <w:r w:rsidR="001337A3" w:rsidRPr="00044682">
        <w:rPr>
          <w:sz w:val="24"/>
          <w:szCs w:val="24"/>
        </w:rPr>
        <w:t xml:space="preserve">update on </w:t>
      </w:r>
      <w:r w:rsidR="003B1C7B" w:rsidRPr="00044682">
        <w:rPr>
          <w:sz w:val="24"/>
          <w:szCs w:val="24"/>
        </w:rPr>
        <w:t>the response to</w:t>
      </w:r>
      <w:r w:rsidR="001337A3" w:rsidRPr="00044682">
        <w:rPr>
          <w:sz w:val="24"/>
          <w:szCs w:val="24"/>
        </w:rPr>
        <w:t xml:space="preserve"> recommendations arising from the </w:t>
      </w:r>
      <w:r w:rsidR="00260522" w:rsidRPr="00044682">
        <w:rPr>
          <w:i/>
          <w:sz w:val="24"/>
          <w:szCs w:val="24"/>
        </w:rPr>
        <w:t>Financing of the Regeneration Programme in Harrow</w:t>
      </w:r>
      <w:r w:rsidR="00260522" w:rsidRPr="00044682">
        <w:rPr>
          <w:sz w:val="24"/>
          <w:szCs w:val="24"/>
        </w:rPr>
        <w:t xml:space="preserve"> </w:t>
      </w:r>
      <w:r w:rsidR="001337A3" w:rsidRPr="00044682">
        <w:rPr>
          <w:sz w:val="24"/>
          <w:szCs w:val="24"/>
        </w:rPr>
        <w:t>report.</w:t>
      </w:r>
    </w:p>
    <w:p w:rsidR="00434092" w:rsidRPr="00044682" w:rsidRDefault="00434092" w:rsidP="00D647F3">
      <w:pPr>
        <w:pStyle w:val="ListParagraph"/>
        <w:ind w:left="360"/>
        <w:jc w:val="both"/>
        <w:rPr>
          <w:sz w:val="24"/>
          <w:szCs w:val="24"/>
        </w:rPr>
      </w:pPr>
    </w:p>
    <w:p w:rsidR="00434092" w:rsidRPr="00044682" w:rsidRDefault="00434092" w:rsidP="00D647F3">
      <w:pPr>
        <w:pStyle w:val="ListParagraph"/>
        <w:numPr>
          <w:ilvl w:val="1"/>
          <w:numId w:val="4"/>
        </w:numPr>
        <w:jc w:val="both"/>
        <w:rPr>
          <w:sz w:val="24"/>
          <w:szCs w:val="24"/>
        </w:rPr>
      </w:pPr>
      <w:r w:rsidRPr="00044682">
        <w:rPr>
          <w:i/>
          <w:sz w:val="24"/>
          <w:szCs w:val="24"/>
          <w:u w:val="single"/>
        </w:rPr>
        <w:t>Recommendation 1</w:t>
      </w:r>
      <w:r w:rsidR="00A80761" w:rsidRPr="00044682">
        <w:rPr>
          <w:sz w:val="24"/>
          <w:szCs w:val="24"/>
          <w:u w:val="single"/>
        </w:rPr>
        <w:t>:</w:t>
      </w:r>
      <w:r w:rsidR="00A80761" w:rsidRPr="00044682">
        <w:rPr>
          <w:sz w:val="24"/>
          <w:szCs w:val="24"/>
        </w:rPr>
        <w:t xml:space="preserve"> </w:t>
      </w:r>
      <w:r w:rsidRPr="00044682">
        <w:rPr>
          <w:sz w:val="24"/>
          <w:szCs w:val="24"/>
        </w:rPr>
        <w:t xml:space="preserve"> That the Regeneration Programme Risk Register includes the capitalisation of wages in the Regeneration Programme, and the revenue risk involved if this cannot happen in certain cases.   </w:t>
      </w:r>
    </w:p>
    <w:p w:rsidR="00434092" w:rsidRPr="00044682" w:rsidRDefault="00434092" w:rsidP="00D647F3">
      <w:pPr>
        <w:pStyle w:val="ListParagraph"/>
        <w:jc w:val="both"/>
        <w:rPr>
          <w:i/>
          <w:sz w:val="24"/>
          <w:szCs w:val="24"/>
        </w:rPr>
      </w:pPr>
    </w:p>
    <w:p w:rsidR="00434092" w:rsidRPr="00044682" w:rsidRDefault="00434092" w:rsidP="00D647F3">
      <w:pPr>
        <w:pStyle w:val="ListParagraph"/>
        <w:ind w:left="360"/>
        <w:jc w:val="both"/>
        <w:rPr>
          <w:sz w:val="24"/>
          <w:szCs w:val="24"/>
        </w:rPr>
      </w:pPr>
      <w:r w:rsidRPr="00044682">
        <w:rPr>
          <w:i/>
          <w:sz w:val="24"/>
          <w:szCs w:val="24"/>
        </w:rPr>
        <w:t>Update on Progress:</w:t>
      </w:r>
      <w:r w:rsidRPr="00044682">
        <w:rPr>
          <w:sz w:val="24"/>
          <w:szCs w:val="24"/>
        </w:rPr>
        <w:t xml:space="preserve"> As of 2018/19, all feasibility schemes are treated as revenue in the first instance and salaries are only capitalised where a decision is made to take a scheme forward.  Costs are reviewed on a monthly basis to ensure they are in line with the capitalisation policy.   Currently there are no risks to report in terms of the schemes going forward.</w:t>
      </w:r>
    </w:p>
    <w:p w:rsidR="00434092" w:rsidRPr="00044682" w:rsidRDefault="00434092" w:rsidP="00D647F3">
      <w:pPr>
        <w:pStyle w:val="ListParagraph"/>
        <w:ind w:left="360"/>
        <w:jc w:val="both"/>
        <w:rPr>
          <w:i/>
          <w:sz w:val="24"/>
          <w:szCs w:val="24"/>
        </w:rPr>
      </w:pPr>
    </w:p>
    <w:p w:rsidR="00BC333A" w:rsidRPr="00044682" w:rsidRDefault="00434092" w:rsidP="00D647F3">
      <w:pPr>
        <w:pStyle w:val="ListParagraph"/>
        <w:ind w:left="360"/>
        <w:jc w:val="both"/>
        <w:rPr>
          <w:sz w:val="24"/>
          <w:szCs w:val="24"/>
        </w:rPr>
      </w:pPr>
      <w:r w:rsidRPr="00044682">
        <w:rPr>
          <w:i/>
          <w:sz w:val="24"/>
          <w:szCs w:val="24"/>
        </w:rPr>
        <w:lastRenderedPageBreak/>
        <w:t>Current Status:</w:t>
      </w:r>
      <w:r w:rsidRPr="00044682">
        <w:rPr>
          <w:sz w:val="24"/>
          <w:szCs w:val="24"/>
        </w:rPr>
        <w:t xml:space="preserve"> Complete subject to this activity continuing, it is therefore recommended that recommendation 1 is closed</w:t>
      </w:r>
      <w:r w:rsidR="00BC333A" w:rsidRPr="00044682">
        <w:rPr>
          <w:sz w:val="24"/>
          <w:szCs w:val="24"/>
        </w:rPr>
        <w:t>.</w:t>
      </w:r>
    </w:p>
    <w:p w:rsidR="00BC333A" w:rsidRPr="00044682" w:rsidRDefault="00BC333A" w:rsidP="00D647F3">
      <w:pPr>
        <w:pStyle w:val="ListParagraph"/>
        <w:ind w:left="360"/>
        <w:jc w:val="both"/>
        <w:rPr>
          <w:sz w:val="24"/>
          <w:szCs w:val="24"/>
          <w:u w:val="single"/>
        </w:rPr>
      </w:pPr>
    </w:p>
    <w:p w:rsidR="00434092" w:rsidRPr="00044682" w:rsidRDefault="00434092" w:rsidP="00D647F3">
      <w:pPr>
        <w:pStyle w:val="ListParagraph"/>
        <w:numPr>
          <w:ilvl w:val="1"/>
          <w:numId w:val="4"/>
        </w:numPr>
        <w:jc w:val="both"/>
        <w:rPr>
          <w:sz w:val="24"/>
          <w:szCs w:val="24"/>
        </w:rPr>
      </w:pPr>
      <w:r w:rsidRPr="00044682">
        <w:rPr>
          <w:i/>
          <w:sz w:val="24"/>
          <w:szCs w:val="24"/>
          <w:u w:val="single"/>
        </w:rPr>
        <w:t>Recommendation 2</w:t>
      </w:r>
      <w:r w:rsidR="00A80761" w:rsidRPr="00044682">
        <w:rPr>
          <w:i/>
          <w:sz w:val="24"/>
          <w:szCs w:val="24"/>
        </w:rPr>
        <w:t xml:space="preserve">: </w:t>
      </w:r>
      <w:r w:rsidRPr="00044682">
        <w:rPr>
          <w:sz w:val="24"/>
          <w:szCs w:val="24"/>
        </w:rPr>
        <w:t xml:space="preserve"> That officers produce one report that includes all risks and mitigations in relation to the Regeneration Programme.</w:t>
      </w:r>
      <w:r w:rsidR="00BC333A" w:rsidRPr="00044682">
        <w:rPr>
          <w:sz w:val="24"/>
          <w:szCs w:val="24"/>
        </w:rPr>
        <w:t xml:space="preserve">  </w:t>
      </w:r>
      <w:r w:rsidRPr="00044682">
        <w:rPr>
          <w:sz w:val="24"/>
          <w:szCs w:val="24"/>
        </w:rPr>
        <w:t>This report will include the impact the expected increase in population will potentially have on the Council, its partners and the borough.</w:t>
      </w:r>
      <w:r w:rsidR="00BC333A" w:rsidRPr="00044682">
        <w:rPr>
          <w:sz w:val="24"/>
          <w:szCs w:val="24"/>
        </w:rPr>
        <w:t xml:space="preserve">  </w:t>
      </w:r>
      <w:r w:rsidRPr="00044682">
        <w:rPr>
          <w:sz w:val="24"/>
          <w:szCs w:val="24"/>
        </w:rPr>
        <w:t xml:space="preserve">The report will analyse and discuss, but not be limited to, the impact on (1) the NHS and care services, (2) education, (3) transport services (including both infrastructure and capacity improvements to rail and bus services, better London orbital routes, and other local transport issues that will be experienced throughout the developments, i.e. parking and road issues), (4) refuse collection, (5) increased demand for enforcement and regulation against the potential social and economic gains including increase in Council Tax receipts and business rates (including any business profiling that has been undertaken and a strategy to encourage businesses to move and stay in Harrow), (6) the New Homes Bonus, (7) increased employment (and whether this will be long or short term), and (9) apprenticeships  that may be created in the area, and if so, in which sectors and in what numbers.  </w:t>
      </w:r>
    </w:p>
    <w:p w:rsidR="00BC333A" w:rsidRPr="00044682" w:rsidRDefault="00BC333A" w:rsidP="00D647F3">
      <w:pPr>
        <w:ind w:left="360"/>
        <w:jc w:val="both"/>
        <w:rPr>
          <w:rFonts w:cs="Arial"/>
          <w:szCs w:val="24"/>
        </w:rPr>
      </w:pPr>
    </w:p>
    <w:p w:rsidR="00434092" w:rsidRPr="00044682" w:rsidRDefault="00434092" w:rsidP="00D647F3">
      <w:pPr>
        <w:ind w:left="360"/>
        <w:jc w:val="both"/>
        <w:rPr>
          <w:rFonts w:cs="Arial"/>
          <w:szCs w:val="24"/>
        </w:rPr>
      </w:pPr>
      <w:r w:rsidRPr="00044682">
        <w:rPr>
          <w:rFonts w:cs="Arial"/>
          <w:i/>
          <w:szCs w:val="24"/>
        </w:rPr>
        <w:t>Update on Progress:</w:t>
      </w:r>
      <w:r w:rsidRPr="00044682">
        <w:rPr>
          <w:rFonts w:cs="Arial"/>
          <w:szCs w:val="24"/>
        </w:rPr>
        <w:t xml:space="preserve"> A proposal for production of a </w:t>
      </w:r>
      <w:r w:rsidRPr="00044682">
        <w:rPr>
          <w:rFonts w:cs="Arial"/>
          <w:i/>
          <w:szCs w:val="24"/>
        </w:rPr>
        <w:t>Building a Better Harrow Infrastructure Plan</w:t>
      </w:r>
      <w:r w:rsidRPr="00044682">
        <w:rPr>
          <w:rFonts w:cs="Arial"/>
          <w:szCs w:val="24"/>
        </w:rPr>
        <w:t xml:space="preserve"> has been drafted and </w:t>
      </w:r>
      <w:r w:rsidR="00FC270D" w:rsidRPr="00044682">
        <w:rPr>
          <w:rFonts w:cs="Arial"/>
          <w:szCs w:val="24"/>
        </w:rPr>
        <w:t>is intended to be presented to Build a Better Harrow Board on 27</w:t>
      </w:r>
      <w:r w:rsidR="00FC270D" w:rsidRPr="00044682">
        <w:rPr>
          <w:rFonts w:cs="Arial"/>
          <w:szCs w:val="24"/>
          <w:vertAlign w:val="superscript"/>
        </w:rPr>
        <w:t>th</w:t>
      </w:r>
      <w:r w:rsidR="00FC270D" w:rsidRPr="00044682">
        <w:rPr>
          <w:rFonts w:cs="Arial"/>
          <w:szCs w:val="24"/>
        </w:rPr>
        <w:t xml:space="preserve"> November 2019.</w:t>
      </w:r>
    </w:p>
    <w:p w:rsidR="00434092" w:rsidRPr="00044682" w:rsidRDefault="00434092" w:rsidP="00D647F3">
      <w:pPr>
        <w:ind w:left="360"/>
        <w:jc w:val="both"/>
        <w:rPr>
          <w:rFonts w:cs="Arial"/>
          <w:szCs w:val="24"/>
        </w:rPr>
      </w:pPr>
    </w:p>
    <w:p w:rsidR="00434092" w:rsidRPr="00044682" w:rsidRDefault="00434092" w:rsidP="00D647F3">
      <w:pPr>
        <w:ind w:left="360"/>
        <w:jc w:val="both"/>
        <w:rPr>
          <w:rFonts w:cs="Arial"/>
          <w:szCs w:val="24"/>
        </w:rPr>
      </w:pPr>
      <w:r w:rsidRPr="00044682">
        <w:rPr>
          <w:rFonts w:cs="Arial"/>
          <w:szCs w:val="24"/>
        </w:rPr>
        <w:t>Work on chapter briefs is ready to begin once BABHB agreement and financial approvals in place. Briefs will be drafted with relevant departments/‘chapter owners’ and shared for sign-off and costing.</w:t>
      </w:r>
    </w:p>
    <w:p w:rsidR="00A80761" w:rsidRPr="00044682" w:rsidRDefault="00A80761" w:rsidP="00D647F3">
      <w:pPr>
        <w:jc w:val="both"/>
        <w:rPr>
          <w:rFonts w:cs="Arial"/>
          <w:szCs w:val="24"/>
        </w:rPr>
      </w:pPr>
    </w:p>
    <w:p w:rsidR="00434092" w:rsidRPr="00044682" w:rsidRDefault="00434092" w:rsidP="00D647F3">
      <w:pPr>
        <w:ind w:left="360"/>
        <w:jc w:val="both"/>
        <w:rPr>
          <w:rFonts w:cs="Arial"/>
          <w:szCs w:val="24"/>
        </w:rPr>
      </w:pPr>
      <w:r w:rsidRPr="00044682">
        <w:rPr>
          <w:rFonts w:cs="Arial"/>
          <w:szCs w:val="24"/>
        </w:rPr>
        <w:t>Types of infrastructure to be considered:</w:t>
      </w:r>
    </w:p>
    <w:p w:rsidR="00A80761" w:rsidRPr="00044682" w:rsidRDefault="00A80761" w:rsidP="00D647F3">
      <w:pPr>
        <w:ind w:left="360"/>
        <w:jc w:val="both"/>
        <w:rPr>
          <w:rFonts w:cs="Arial"/>
          <w:szCs w:val="24"/>
        </w:rPr>
      </w:pPr>
    </w:p>
    <w:p w:rsidR="00434092" w:rsidRPr="00044682" w:rsidRDefault="00434092" w:rsidP="00D647F3">
      <w:pPr>
        <w:pStyle w:val="ListParagraph"/>
        <w:numPr>
          <w:ilvl w:val="0"/>
          <w:numId w:val="5"/>
        </w:numPr>
        <w:jc w:val="both"/>
        <w:rPr>
          <w:sz w:val="24"/>
          <w:szCs w:val="24"/>
        </w:rPr>
      </w:pPr>
      <w:r w:rsidRPr="00044682">
        <w:rPr>
          <w:sz w:val="24"/>
          <w:szCs w:val="24"/>
        </w:rPr>
        <w:t>Education</w:t>
      </w:r>
    </w:p>
    <w:p w:rsidR="00434092" w:rsidRPr="00044682" w:rsidRDefault="00434092" w:rsidP="00D647F3">
      <w:pPr>
        <w:pStyle w:val="ListParagraph"/>
        <w:numPr>
          <w:ilvl w:val="0"/>
          <w:numId w:val="5"/>
        </w:numPr>
        <w:jc w:val="both"/>
        <w:rPr>
          <w:sz w:val="24"/>
          <w:szCs w:val="24"/>
        </w:rPr>
      </w:pPr>
      <w:r w:rsidRPr="00044682">
        <w:rPr>
          <w:sz w:val="24"/>
          <w:szCs w:val="24"/>
        </w:rPr>
        <w:t>Housing</w:t>
      </w:r>
    </w:p>
    <w:p w:rsidR="00434092" w:rsidRPr="00044682" w:rsidRDefault="00434092" w:rsidP="00D647F3">
      <w:pPr>
        <w:pStyle w:val="ListParagraph"/>
        <w:numPr>
          <w:ilvl w:val="0"/>
          <w:numId w:val="5"/>
        </w:numPr>
        <w:jc w:val="both"/>
        <w:rPr>
          <w:sz w:val="24"/>
          <w:szCs w:val="24"/>
        </w:rPr>
      </w:pPr>
      <w:r w:rsidRPr="00044682">
        <w:rPr>
          <w:sz w:val="24"/>
          <w:szCs w:val="24"/>
        </w:rPr>
        <w:t>Health services, social care, and older-person accommodation</w:t>
      </w:r>
    </w:p>
    <w:p w:rsidR="00434092" w:rsidRPr="00044682" w:rsidRDefault="00434092" w:rsidP="00D647F3">
      <w:pPr>
        <w:pStyle w:val="ListParagraph"/>
        <w:numPr>
          <w:ilvl w:val="0"/>
          <w:numId w:val="5"/>
        </w:numPr>
        <w:jc w:val="both"/>
        <w:rPr>
          <w:sz w:val="24"/>
          <w:szCs w:val="24"/>
        </w:rPr>
      </w:pPr>
      <w:r w:rsidRPr="00044682">
        <w:rPr>
          <w:sz w:val="24"/>
          <w:szCs w:val="24"/>
        </w:rPr>
        <w:t>Waste collection and recycling</w:t>
      </w:r>
    </w:p>
    <w:p w:rsidR="00434092" w:rsidRPr="00044682" w:rsidRDefault="00434092" w:rsidP="00D647F3">
      <w:pPr>
        <w:pStyle w:val="ListParagraph"/>
        <w:numPr>
          <w:ilvl w:val="0"/>
          <w:numId w:val="5"/>
        </w:numPr>
        <w:jc w:val="both"/>
        <w:rPr>
          <w:sz w:val="24"/>
          <w:szCs w:val="24"/>
        </w:rPr>
      </w:pPr>
      <w:r w:rsidRPr="00044682">
        <w:rPr>
          <w:sz w:val="24"/>
          <w:szCs w:val="24"/>
        </w:rPr>
        <w:t>Emergency services</w:t>
      </w:r>
    </w:p>
    <w:p w:rsidR="00434092" w:rsidRPr="00044682" w:rsidRDefault="00434092" w:rsidP="00D647F3">
      <w:pPr>
        <w:pStyle w:val="ListParagraph"/>
        <w:numPr>
          <w:ilvl w:val="0"/>
          <w:numId w:val="5"/>
        </w:numPr>
        <w:jc w:val="both"/>
        <w:rPr>
          <w:sz w:val="24"/>
          <w:szCs w:val="24"/>
        </w:rPr>
      </w:pPr>
      <w:r w:rsidRPr="00044682">
        <w:rPr>
          <w:sz w:val="24"/>
          <w:szCs w:val="24"/>
        </w:rPr>
        <w:t>Culture and community facilities</w:t>
      </w:r>
    </w:p>
    <w:p w:rsidR="00434092" w:rsidRPr="00044682" w:rsidRDefault="00434092" w:rsidP="00D647F3">
      <w:pPr>
        <w:pStyle w:val="ListParagraph"/>
        <w:numPr>
          <w:ilvl w:val="0"/>
          <w:numId w:val="5"/>
        </w:numPr>
        <w:jc w:val="both"/>
        <w:rPr>
          <w:sz w:val="24"/>
          <w:szCs w:val="24"/>
        </w:rPr>
      </w:pPr>
      <w:r w:rsidRPr="00044682">
        <w:rPr>
          <w:sz w:val="24"/>
          <w:szCs w:val="24"/>
        </w:rPr>
        <w:t>Environmental, open space, biodiversity, and air quality</w:t>
      </w:r>
    </w:p>
    <w:p w:rsidR="00434092" w:rsidRPr="00044682" w:rsidRDefault="00434092" w:rsidP="00D647F3">
      <w:pPr>
        <w:pStyle w:val="ListParagraph"/>
        <w:numPr>
          <w:ilvl w:val="0"/>
          <w:numId w:val="5"/>
        </w:numPr>
        <w:jc w:val="both"/>
        <w:rPr>
          <w:sz w:val="24"/>
          <w:szCs w:val="24"/>
        </w:rPr>
      </w:pPr>
      <w:r w:rsidRPr="00044682">
        <w:rPr>
          <w:sz w:val="24"/>
          <w:szCs w:val="24"/>
        </w:rPr>
        <w:t>Recreation and leisure</w:t>
      </w:r>
    </w:p>
    <w:p w:rsidR="00434092" w:rsidRPr="00044682" w:rsidRDefault="00434092" w:rsidP="00D647F3">
      <w:pPr>
        <w:pStyle w:val="ListParagraph"/>
        <w:numPr>
          <w:ilvl w:val="0"/>
          <w:numId w:val="5"/>
        </w:numPr>
        <w:jc w:val="both"/>
        <w:rPr>
          <w:sz w:val="24"/>
          <w:szCs w:val="24"/>
        </w:rPr>
      </w:pPr>
      <w:r w:rsidRPr="00044682">
        <w:rPr>
          <w:sz w:val="24"/>
          <w:szCs w:val="24"/>
        </w:rPr>
        <w:t>Cemeteries and burial space</w:t>
      </w:r>
    </w:p>
    <w:p w:rsidR="00434092" w:rsidRPr="00044682" w:rsidRDefault="00434092" w:rsidP="00D647F3">
      <w:pPr>
        <w:pStyle w:val="ListParagraph"/>
        <w:numPr>
          <w:ilvl w:val="0"/>
          <w:numId w:val="5"/>
        </w:numPr>
        <w:jc w:val="both"/>
        <w:rPr>
          <w:sz w:val="24"/>
          <w:szCs w:val="24"/>
        </w:rPr>
      </w:pPr>
      <w:r w:rsidRPr="00044682">
        <w:rPr>
          <w:sz w:val="24"/>
          <w:szCs w:val="24"/>
        </w:rPr>
        <w:t>Transport</w:t>
      </w:r>
    </w:p>
    <w:p w:rsidR="00434092" w:rsidRPr="00044682" w:rsidRDefault="00434092" w:rsidP="00D647F3">
      <w:pPr>
        <w:pStyle w:val="ListParagraph"/>
        <w:numPr>
          <w:ilvl w:val="0"/>
          <w:numId w:val="5"/>
        </w:numPr>
        <w:jc w:val="both"/>
        <w:rPr>
          <w:sz w:val="24"/>
          <w:szCs w:val="24"/>
        </w:rPr>
      </w:pPr>
      <w:r w:rsidRPr="00044682">
        <w:rPr>
          <w:sz w:val="24"/>
          <w:szCs w:val="24"/>
        </w:rPr>
        <w:t>Flood mitigation</w:t>
      </w:r>
    </w:p>
    <w:p w:rsidR="00434092" w:rsidRPr="00044682" w:rsidRDefault="00434092" w:rsidP="00D647F3">
      <w:pPr>
        <w:pStyle w:val="ListParagraph"/>
        <w:numPr>
          <w:ilvl w:val="0"/>
          <w:numId w:val="5"/>
        </w:numPr>
        <w:jc w:val="both"/>
        <w:rPr>
          <w:sz w:val="24"/>
          <w:szCs w:val="24"/>
        </w:rPr>
      </w:pPr>
      <w:r w:rsidRPr="00044682">
        <w:rPr>
          <w:sz w:val="24"/>
          <w:szCs w:val="24"/>
        </w:rPr>
        <w:t>Utilities (gas, power and water)</w:t>
      </w:r>
    </w:p>
    <w:p w:rsidR="00434092" w:rsidRPr="00044682" w:rsidRDefault="00434092" w:rsidP="00D647F3">
      <w:pPr>
        <w:pStyle w:val="ListParagraph"/>
        <w:numPr>
          <w:ilvl w:val="0"/>
          <w:numId w:val="5"/>
        </w:numPr>
        <w:jc w:val="both"/>
        <w:rPr>
          <w:sz w:val="24"/>
          <w:szCs w:val="24"/>
        </w:rPr>
      </w:pPr>
      <w:r w:rsidRPr="00044682">
        <w:rPr>
          <w:sz w:val="24"/>
          <w:szCs w:val="24"/>
        </w:rPr>
        <w:t>Digital connectivity and high speed broadband</w:t>
      </w:r>
    </w:p>
    <w:p w:rsidR="00434092" w:rsidRPr="00044682" w:rsidRDefault="00434092" w:rsidP="00D647F3">
      <w:pPr>
        <w:pStyle w:val="ListParagraph"/>
        <w:numPr>
          <w:ilvl w:val="0"/>
          <w:numId w:val="5"/>
        </w:numPr>
        <w:jc w:val="both"/>
        <w:rPr>
          <w:sz w:val="24"/>
          <w:szCs w:val="24"/>
        </w:rPr>
      </w:pPr>
      <w:r w:rsidRPr="00044682">
        <w:rPr>
          <w:sz w:val="24"/>
          <w:szCs w:val="24"/>
        </w:rPr>
        <w:t>Economic (New Homes Bonus, taxes and rates, employment).</w:t>
      </w:r>
    </w:p>
    <w:p w:rsidR="00434092" w:rsidRPr="00044682" w:rsidRDefault="00434092" w:rsidP="00D647F3">
      <w:pPr>
        <w:jc w:val="both"/>
        <w:rPr>
          <w:rFonts w:cs="Arial"/>
          <w:szCs w:val="24"/>
        </w:rPr>
      </w:pPr>
    </w:p>
    <w:p w:rsidR="00434092" w:rsidRPr="00044682" w:rsidRDefault="00434092" w:rsidP="00D647F3">
      <w:pPr>
        <w:ind w:left="360"/>
        <w:jc w:val="both"/>
        <w:rPr>
          <w:rFonts w:cs="Arial"/>
          <w:szCs w:val="24"/>
        </w:rPr>
      </w:pPr>
      <w:r w:rsidRPr="00044682">
        <w:rPr>
          <w:rFonts w:cs="Arial"/>
          <w:i/>
          <w:szCs w:val="24"/>
        </w:rPr>
        <w:t xml:space="preserve">Current </w:t>
      </w:r>
      <w:r w:rsidR="00BC333A" w:rsidRPr="00044682">
        <w:rPr>
          <w:rFonts w:cs="Arial"/>
          <w:i/>
          <w:szCs w:val="24"/>
        </w:rPr>
        <w:t>Status:</w:t>
      </w:r>
      <w:r w:rsidR="00BC333A" w:rsidRPr="00044682">
        <w:rPr>
          <w:rFonts w:cs="Arial"/>
          <w:szCs w:val="24"/>
        </w:rPr>
        <w:t xml:space="preserve"> Underway, Anticipated sign-off of proposal: November 2019, draft plan complete Autumn 2020.</w:t>
      </w:r>
    </w:p>
    <w:p w:rsidR="00BC333A" w:rsidRPr="00044682" w:rsidRDefault="00BC333A" w:rsidP="00D647F3">
      <w:pPr>
        <w:jc w:val="both"/>
        <w:rPr>
          <w:rFonts w:cs="Arial"/>
          <w:szCs w:val="24"/>
        </w:rPr>
      </w:pPr>
    </w:p>
    <w:p w:rsidR="00434092" w:rsidRPr="00044682" w:rsidRDefault="00A80761" w:rsidP="00D647F3">
      <w:pPr>
        <w:pStyle w:val="ListParagraph"/>
        <w:numPr>
          <w:ilvl w:val="1"/>
          <w:numId w:val="4"/>
        </w:numPr>
        <w:jc w:val="both"/>
        <w:rPr>
          <w:sz w:val="24"/>
          <w:szCs w:val="24"/>
        </w:rPr>
      </w:pPr>
      <w:r w:rsidRPr="00044682">
        <w:rPr>
          <w:i/>
          <w:sz w:val="24"/>
          <w:szCs w:val="24"/>
          <w:u w:val="single"/>
        </w:rPr>
        <w:lastRenderedPageBreak/>
        <w:t>Recommendation 3:</w:t>
      </w:r>
      <w:r w:rsidRPr="00044682">
        <w:rPr>
          <w:sz w:val="24"/>
          <w:szCs w:val="24"/>
        </w:rPr>
        <w:t xml:space="preserve"> That a comprehensive lobbying strategy be agreed to promote improved transport links to central London and out of London be developed and integrated within the Regeneration Programme.</w:t>
      </w:r>
    </w:p>
    <w:p w:rsidR="00A80761" w:rsidRPr="00044682" w:rsidRDefault="00A80761" w:rsidP="00D647F3">
      <w:pPr>
        <w:jc w:val="both"/>
        <w:rPr>
          <w:rFonts w:cs="Arial"/>
          <w:szCs w:val="24"/>
        </w:rPr>
      </w:pPr>
    </w:p>
    <w:p w:rsidR="00A80761" w:rsidRPr="00044682" w:rsidRDefault="00A80761" w:rsidP="00D647F3">
      <w:pPr>
        <w:ind w:left="360"/>
        <w:jc w:val="both"/>
        <w:rPr>
          <w:rFonts w:cs="Arial"/>
          <w:szCs w:val="24"/>
        </w:rPr>
      </w:pPr>
      <w:r w:rsidRPr="00044682">
        <w:rPr>
          <w:rFonts w:cs="Arial"/>
          <w:i/>
          <w:szCs w:val="24"/>
        </w:rPr>
        <w:t>Update on Progress:</w:t>
      </w:r>
      <w:r w:rsidRPr="00044682">
        <w:rPr>
          <w:rFonts w:cs="Arial"/>
          <w:szCs w:val="24"/>
        </w:rPr>
        <w:t xml:space="preserve"> First draft of </w:t>
      </w:r>
      <w:r w:rsidRPr="00044682">
        <w:rPr>
          <w:rFonts w:cs="Arial"/>
          <w:i/>
          <w:szCs w:val="24"/>
        </w:rPr>
        <w:t xml:space="preserve">Public Transport Lobbying Strategy </w:t>
      </w:r>
      <w:r w:rsidRPr="00044682">
        <w:rPr>
          <w:rFonts w:cs="Arial"/>
          <w:szCs w:val="24"/>
        </w:rPr>
        <w:t>is complete and being considered by the wider officer group. Regular meetings are being held with TfL in relation to the Harrow town centre development and TfL car park sites. Specific meetings have been held with bus and rail operators, TfL and Network Rail as well as user groups to help shape the contents of the strategy and future aspirations. Public transport policies have been updated in the latest version of the TfL Local Implementation Plan.</w:t>
      </w:r>
    </w:p>
    <w:p w:rsidR="00A80761" w:rsidRPr="00044682" w:rsidRDefault="00A80761" w:rsidP="00D647F3">
      <w:pPr>
        <w:ind w:left="360"/>
        <w:jc w:val="both"/>
        <w:rPr>
          <w:rFonts w:cs="Arial"/>
          <w:i/>
          <w:szCs w:val="24"/>
        </w:rPr>
      </w:pPr>
    </w:p>
    <w:p w:rsidR="00A80761" w:rsidRPr="00044682" w:rsidRDefault="00A80761" w:rsidP="00D647F3">
      <w:pPr>
        <w:ind w:left="360"/>
        <w:jc w:val="both"/>
        <w:rPr>
          <w:rFonts w:cs="Arial"/>
          <w:szCs w:val="24"/>
        </w:rPr>
      </w:pPr>
      <w:r w:rsidRPr="00044682">
        <w:rPr>
          <w:rFonts w:cs="Arial"/>
          <w:szCs w:val="24"/>
        </w:rPr>
        <w:t xml:space="preserve">General lobbying is also a matter of course by the Highways Team: this is currently focused on bidding for transport projects in the regeneration area that could be funded by TfL, e.g. Wealdstone </w:t>
      </w:r>
      <w:r w:rsidR="00125C25" w:rsidRPr="00044682">
        <w:rPr>
          <w:rFonts w:cs="Arial"/>
          <w:szCs w:val="24"/>
        </w:rPr>
        <w:t>Liveable</w:t>
      </w:r>
      <w:r w:rsidRPr="00044682">
        <w:rPr>
          <w:rFonts w:cs="Arial"/>
          <w:szCs w:val="24"/>
        </w:rPr>
        <w:t xml:space="preserve"> </w:t>
      </w:r>
      <w:r w:rsidR="00125C25" w:rsidRPr="00044682">
        <w:rPr>
          <w:rFonts w:cs="Arial"/>
          <w:szCs w:val="24"/>
        </w:rPr>
        <w:t>Neighbourhood</w:t>
      </w:r>
      <w:r w:rsidRPr="00044682">
        <w:rPr>
          <w:rFonts w:cs="Arial"/>
          <w:szCs w:val="24"/>
        </w:rPr>
        <w:t xml:space="preserve">, Wealdstone bus priority scheme, MHCLG Future High Streets Fund. </w:t>
      </w:r>
    </w:p>
    <w:p w:rsidR="00A80761" w:rsidRPr="00044682" w:rsidRDefault="00A80761" w:rsidP="00D647F3">
      <w:pPr>
        <w:ind w:left="360"/>
        <w:jc w:val="both"/>
        <w:rPr>
          <w:rFonts w:cs="Arial"/>
          <w:szCs w:val="24"/>
        </w:rPr>
      </w:pPr>
    </w:p>
    <w:p w:rsidR="00A80761" w:rsidRPr="00044682" w:rsidRDefault="00A80761" w:rsidP="00D647F3">
      <w:pPr>
        <w:ind w:left="360"/>
        <w:jc w:val="both"/>
        <w:rPr>
          <w:rFonts w:cs="Arial"/>
          <w:szCs w:val="24"/>
        </w:rPr>
      </w:pPr>
      <w:r w:rsidRPr="00044682">
        <w:rPr>
          <w:rFonts w:cs="Arial"/>
          <w:szCs w:val="24"/>
        </w:rPr>
        <w:t xml:space="preserve">Typical engagement with bus and rail stakeholders is undertaken via quarterly HPTUA user group meetings in the Commercial &amp; Public transport team. Issues connected with step free access, rail and bus route improvements and interchange capacity are discussed at this forum. </w:t>
      </w:r>
    </w:p>
    <w:p w:rsidR="00A80761" w:rsidRPr="00044682" w:rsidRDefault="00A80761" w:rsidP="00D647F3">
      <w:pPr>
        <w:ind w:left="360"/>
        <w:jc w:val="both"/>
        <w:rPr>
          <w:rFonts w:cs="Arial"/>
          <w:szCs w:val="24"/>
        </w:rPr>
      </w:pPr>
    </w:p>
    <w:p w:rsidR="00A80761" w:rsidRPr="00044682" w:rsidRDefault="00A80761" w:rsidP="00D647F3">
      <w:pPr>
        <w:ind w:left="360"/>
        <w:jc w:val="both"/>
        <w:rPr>
          <w:rFonts w:cs="Arial"/>
          <w:szCs w:val="24"/>
        </w:rPr>
      </w:pPr>
      <w:r w:rsidRPr="00044682">
        <w:rPr>
          <w:rFonts w:cs="Arial"/>
          <w:i/>
          <w:szCs w:val="24"/>
        </w:rPr>
        <w:t>Current Status:</w:t>
      </w:r>
      <w:r w:rsidRPr="00044682">
        <w:rPr>
          <w:rFonts w:cs="Arial"/>
          <w:szCs w:val="24"/>
        </w:rPr>
        <w:t xml:space="preserve"> Underway, Draft </w:t>
      </w:r>
      <w:r w:rsidRPr="00044682">
        <w:rPr>
          <w:rFonts w:cs="Arial"/>
          <w:i/>
          <w:szCs w:val="24"/>
        </w:rPr>
        <w:t xml:space="preserve">Public Transport Lobbying Strategy </w:t>
      </w:r>
      <w:r w:rsidRPr="00044682">
        <w:rPr>
          <w:rFonts w:cs="Arial"/>
          <w:szCs w:val="24"/>
        </w:rPr>
        <w:t xml:space="preserve">to be shared </w:t>
      </w:r>
      <w:r w:rsidR="003B1C7B" w:rsidRPr="00044682">
        <w:rPr>
          <w:rFonts w:cs="Arial"/>
          <w:szCs w:val="24"/>
        </w:rPr>
        <w:t xml:space="preserve">with a wider group of Officers </w:t>
      </w:r>
      <w:r w:rsidRPr="00044682">
        <w:rPr>
          <w:rFonts w:cs="Arial"/>
          <w:szCs w:val="24"/>
        </w:rPr>
        <w:t>for comment November/December 2019</w:t>
      </w:r>
      <w:r w:rsidR="003B1C7B" w:rsidRPr="00044682">
        <w:rPr>
          <w:rFonts w:cs="Arial"/>
          <w:szCs w:val="24"/>
        </w:rPr>
        <w:t xml:space="preserve"> and be </w:t>
      </w:r>
      <w:r w:rsidR="00190B5A" w:rsidRPr="00044682">
        <w:rPr>
          <w:rFonts w:cs="Arial"/>
          <w:szCs w:val="24"/>
        </w:rPr>
        <w:t>proposed</w:t>
      </w:r>
      <w:r w:rsidR="00190B5A" w:rsidRPr="00044682">
        <w:rPr>
          <w:rFonts w:cs="Arial"/>
          <w:color w:val="FF0000"/>
          <w:szCs w:val="24"/>
        </w:rPr>
        <w:t xml:space="preserve"> </w:t>
      </w:r>
      <w:r w:rsidR="003B1C7B" w:rsidRPr="00044682">
        <w:rPr>
          <w:rFonts w:cs="Arial"/>
          <w:szCs w:val="24"/>
        </w:rPr>
        <w:t>to Build a Better Harrow Board in March</w:t>
      </w:r>
      <w:r w:rsidR="00190B5A" w:rsidRPr="00044682">
        <w:rPr>
          <w:rFonts w:cs="Arial"/>
          <w:szCs w:val="24"/>
        </w:rPr>
        <w:t>/</w:t>
      </w:r>
      <w:r w:rsidR="003B1C7B" w:rsidRPr="00044682">
        <w:rPr>
          <w:rFonts w:cs="Arial"/>
          <w:szCs w:val="24"/>
        </w:rPr>
        <w:t>April 2020.</w:t>
      </w:r>
    </w:p>
    <w:p w:rsidR="003B1C7B" w:rsidRPr="00044682" w:rsidRDefault="003B1C7B" w:rsidP="00D647F3">
      <w:pPr>
        <w:ind w:left="360"/>
        <w:jc w:val="both"/>
        <w:rPr>
          <w:rFonts w:cs="Arial"/>
          <w:szCs w:val="24"/>
        </w:rPr>
      </w:pPr>
    </w:p>
    <w:p w:rsidR="00A80761" w:rsidRPr="00044682" w:rsidRDefault="00A80761" w:rsidP="00755F86">
      <w:pPr>
        <w:pStyle w:val="ListParagraph"/>
        <w:numPr>
          <w:ilvl w:val="1"/>
          <w:numId w:val="4"/>
        </w:numPr>
        <w:jc w:val="both"/>
        <w:rPr>
          <w:sz w:val="24"/>
          <w:szCs w:val="24"/>
        </w:rPr>
      </w:pPr>
      <w:r w:rsidRPr="00044682">
        <w:rPr>
          <w:i/>
          <w:sz w:val="24"/>
          <w:szCs w:val="24"/>
          <w:u w:val="single"/>
        </w:rPr>
        <w:t>Recommendation 4:</w:t>
      </w:r>
      <w:r w:rsidRPr="00044682">
        <w:rPr>
          <w:sz w:val="24"/>
          <w:szCs w:val="24"/>
        </w:rPr>
        <w:t xml:space="preserve"> That, as part of the lobbying strategy, for a letter to be drafted from the Leader of the Council and the Leader of the Opposition to the Mayor and TfL (London Underground Lines and London Overground), relevant Government Ministers, the Department of Transport, Network Rail, and rail operating companies (London Northwestern Railways, Southern, and Chiltern Railways) calling for improvements in capacity and facilities at Harrow and Wealdstone Station and Harrow-on-the-Hill station along with greater frequency, more capacity and improved reliability of all services operated by London Underground Lines, London Overground, London Northwestern Railways, Chiltern Railways and Southern</w:t>
      </w:r>
      <w:r w:rsidR="00755F86" w:rsidRPr="00044682">
        <w:rPr>
          <w:sz w:val="24"/>
          <w:szCs w:val="24"/>
        </w:rPr>
        <w:t>.</w:t>
      </w:r>
    </w:p>
    <w:p w:rsidR="00A80761" w:rsidRPr="00044682" w:rsidRDefault="00A80761" w:rsidP="00D647F3">
      <w:pPr>
        <w:pStyle w:val="ListParagraph"/>
        <w:ind w:left="360"/>
        <w:jc w:val="both"/>
        <w:rPr>
          <w:sz w:val="24"/>
          <w:szCs w:val="24"/>
        </w:rPr>
      </w:pPr>
    </w:p>
    <w:p w:rsidR="00A80761" w:rsidRPr="00044682" w:rsidRDefault="00A80761" w:rsidP="00D647F3">
      <w:pPr>
        <w:ind w:left="360"/>
        <w:jc w:val="both"/>
        <w:rPr>
          <w:rFonts w:cs="Arial"/>
          <w:color w:val="FF0000"/>
          <w:szCs w:val="24"/>
        </w:rPr>
      </w:pPr>
      <w:r w:rsidRPr="00044682">
        <w:rPr>
          <w:rFonts w:cs="Arial"/>
          <w:i/>
          <w:szCs w:val="24"/>
        </w:rPr>
        <w:t>Update on Progress:</w:t>
      </w:r>
      <w:r w:rsidRPr="00044682">
        <w:rPr>
          <w:rFonts w:cs="Arial"/>
          <w:szCs w:val="24"/>
        </w:rPr>
        <w:t xml:space="preserve"> The Deputy Mayor for Transport, Heidi Alexander, visited Harrow on 18 January 2019 </w:t>
      </w:r>
      <w:r w:rsidR="003B1C7B" w:rsidRPr="00044682">
        <w:rPr>
          <w:rFonts w:cs="Arial"/>
          <w:szCs w:val="24"/>
        </w:rPr>
        <w:t xml:space="preserve">with further discussions recently through the West London Economic </w:t>
      </w:r>
      <w:r w:rsidR="000726AA" w:rsidRPr="00044682">
        <w:rPr>
          <w:rFonts w:cs="Arial"/>
          <w:szCs w:val="24"/>
        </w:rPr>
        <w:t xml:space="preserve">Priorities </w:t>
      </w:r>
      <w:r w:rsidR="003B1C7B" w:rsidRPr="00044682">
        <w:rPr>
          <w:rFonts w:cs="Arial"/>
          <w:szCs w:val="24"/>
        </w:rPr>
        <w:t>Board</w:t>
      </w:r>
      <w:r w:rsidR="00673FAB" w:rsidRPr="00044682">
        <w:rPr>
          <w:rFonts w:cs="Arial"/>
          <w:szCs w:val="24"/>
        </w:rPr>
        <w:t xml:space="preserve"> </w:t>
      </w:r>
      <w:r w:rsidRPr="00044682">
        <w:rPr>
          <w:rFonts w:cs="Arial"/>
          <w:szCs w:val="24"/>
        </w:rPr>
        <w:t>to understand key transport issues, in particula</w:t>
      </w:r>
      <w:r w:rsidR="00673FAB" w:rsidRPr="00044682">
        <w:rPr>
          <w:rFonts w:cs="Arial"/>
          <w:szCs w:val="24"/>
        </w:rPr>
        <w:t>r relating to the Council’s R</w:t>
      </w:r>
      <w:r w:rsidRPr="00044682">
        <w:rPr>
          <w:rFonts w:cs="Arial"/>
          <w:szCs w:val="24"/>
        </w:rPr>
        <w:t xml:space="preserve">egen aspirations. Themes included lobbying for increased frequency of rail services between Harrow and Central London, better reliability of services, more step free stations including Harrow, and Stanmore, improvements at Harrow &amp; Wealdstone station.  Data collection </w:t>
      </w:r>
      <w:r w:rsidR="00673FAB" w:rsidRPr="00044682">
        <w:rPr>
          <w:rFonts w:cs="Arial"/>
          <w:szCs w:val="24"/>
        </w:rPr>
        <w:t xml:space="preserve">is also underway </w:t>
      </w:r>
      <w:r w:rsidRPr="00044682">
        <w:rPr>
          <w:rFonts w:cs="Arial"/>
          <w:szCs w:val="24"/>
        </w:rPr>
        <w:t>on rail capacity from various operators, DfT and TfL underway.</w:t>
      </w:r>
    </w:p>
    <w:p w:rsidR="00A80761" w:rsidRPr="00044682" w:rsidRDefault="00A80761" w:rsidP="00D647F3">
      <w:pPr>
        <w:ind w:left="360"/>
        <w:jc w:val="both"/>
        <w:rPr>
          <w:rFonts w:cs="Arial"/>
          <w:color w:val="FF0000"/>
          <w:szCs w:val="24"/>
        </w:rPr>
      </w:pPr>
    </w:p>
    <w:p w:rsidR="00A80761" w:rsidRPr="00044682" w:rsidRDefault="00A80761" w:rsidP="00D647F3">
      <w:pPr>
        <w:ind w:left="360"/>
        <w:jc w:val="both"/>
        <w:rPr>
          <w:rFonts w:cs="Arial"/>
          <w:szCs w:val="24"/>
        </w:rPr>
      </w:pPr>
      <w:r w:rsidRPr="00044682">
        <w:rPr>
          <w:rFonts w:cs="Arial"/>
          <w:i/>
          <w:szCs w:val="24"/>
        </w:rPr>
        <w:t xml:space="preserve">Current Status: </w:t>
      </w:r>
      <w:r w:rsidRPr="00044682">
        <w:rPr>
          <w:rFonts w:cs="Arial"/>
          <w:szCs w:val="24"/>
        </w:rPr>
        <w:t>Underway</w:t>
      </w:r>
      <w:r w:rsidR="00FC270D" w:rsidRPr="00044682">
        <w:rPr>
          <w:rFonts w:cs="Arial"/>
          <w:szCs w:val="24"/>
        </w:rPr>
        <w:t>, d</w:t>
      </w:r>
      <w:r w:rsidRPr="00044682">
        <w:rPr>
          <w:rFonts w:cs="Arial"/>
          <w:szCs w:val="24"/>
        </w:rPr>
        <w:t>ata collect</w:t>
      </w:r>
      <w:r w:rsidR="00FC270D" w:rsidRPr="00044682">
        <w:rPr>
          <w:rFonts w:cs="Arial"/>
          <w:szCs w:val="24"/>
        </w:rPr>
        <w:t>ion results expected late 2019.  Letters to follow to support Lobbying Strategy to be complete in</w:t>
      </w:r>
      <w:r w:rsidR="00673FAB" w:rsidRPr="00044682">
        <w:rPr>
          <w:rFonts w:cs="Arial"/>
          <w:szCs w:val="24"/>
        </w:rPr>
        <w:t xml:space="preserve"> early 2020.</w:t>
      </w:r>
    </w:p>
    <w:p w:rsidR="00673FAB" w:rsidRPr="00044682" w:rsidRDefault="00673FAB" w:rsidP="00D647F3">
      <w:pPr>
        <w:ind w:left="360"/>
        <w:jc w:val="both"/>
        <w:rPr>
          <w:rFonts w:cs="Arial"/>
          <w:szCs w:val="24"/>
        </w:rPr>
      </w:pPr>
    </w:p>
    <w:p w:rsidR="00A80761" w:rsidRPr="00044682" w:rsidRDefault="00A80761" w:rsidP="00D647F3">
      <w:pPr>
        <w:pStyle w:val="ListParagraph"/>
        <w:numPr>
          <w:ilvl w:val="1"/>
          <w:numId w:val="4"/>
        </w:numPr>
        <w:jc w:val="both"/>
        <w:rPr>
          <w:sz w:val="24"/>
          <w:szCs w:val="24"/>
        </w:rPr>
      </w:pPr>
      <w:r w:rsidRPr="00044682">
        <w:rPr>
          <w:i/>
          <w:sz w:val="24"/>
          <w:szCs w:val="24"/>
          <w:u w:val="single"/>
        </w:rPr>
        <w:lastRenderedPageBreak/>
        <w:t>Recommendation 5</w:t>
      </w:r>
      <w:r w:rsidRPr="00044682">
        <w:rPr>
          <w:i/>
          <w:sz w:val="24"/>
          <w:szCs w:val="24"/>
        </w:rPr>
        <w:t>:</w:t>
      </w:r>
      <w:r w:rsidRPr="00044682">
        <w:rPr>
          <w:sz w:val="24"/>
          <w:szCs w:val="24"/>
        </w:rPr>
        <w:t xml:space="preserve"> That the Council produce a Harrow specific, all-encompassing infrastructure plan/strategy, which will incorporate the Atkins study on Wealdstone and clearly set out how the impacts of the Regeneration Programme will be managed both short and long term.</w:t>
      </w:r>
    </w:p>
    <w:p w:rsidR="00A80761" w:rsidRPr="00044682" w:rsidRDefault="00A80761" w:rsidP="00D647F3">
      <w:pPr>
        <w:pStyle w:val="ListParagraph"/>
        <w:ind w:left="360"/>
        <w:jc w:val="both"/>
        <w:rPr>
          <w:sz w:val="24"/>
          <w:szCs w:val="24"/>
        </w:rPr>
      </w:pPr>
    </w:p>
    <w:p w:rsidR="00A80761" w:rsidRPr="00044682" w:rsidRDefault="00A80761" w:rsidP="00D647F3">
      <w:pPr>
        <w:pStyle w:val="ListParagraph"/>
        <w:ind w:left="360"/>
        <w:jc w:val="both"/>
        <w:rPr>
          <w:sz w:val="24"/>
          <w:szCs w:val="24"/>
        </w:rPr>
      </w:pPr>
      <w:r w:rsidRPr="00044682">
        <w:rPr>
          <w:i/>
          <w:sz w:val="24"/>
          <w:szCs w:val="24"/>
        </w:rPr>
        <w:t>Update on Progress:</w:t>
      </w:r>
      <w:r w:rsidRPr="00044682">
        <w:rPr>
          <w:sz w:val="24"/>
          <w:szCs w:val="24"/>
        </w:rPr>
        <w:t xml:space="preserve"> Included in “all-encompassing” Building a Better Harrow Infrastructure Plan – see recommendation 2 – that builds on the Atkins work to assess the broad magnitude of the boroughs infrastructure need – in light of the Regeneration Programme, its cost and how to pay for it, where it might be needed and how to deliver it better.</w:t>
      </w:r>
    </w:p>
    <w:p w:rsidR="00A80761" w:rsidRPr="00044682" w:rsidRDefault="00A80761" w:rsidP="00D647F3">
      <w:pPr>
        <w:jc w:val="both"/>
        <w:rPr>
          <w:rFonts w:cs="Arial"/>
          <w:szCs w:val="24"/>
        </w:rPr>
      </w:pPr>
    </w:p>
    <w:p w:rsidR="00A80761" w:rsidRPr="00044682" w:rsidRDefault="00A80761" w:rsidP="00D647F3">
      <w:pPr>
        <w:pStyle w:val="ListParagraph"/>
        <w:ind w:left="360"/>
        <w:jc w:val="both"/>
        <w:rPr>
          <w:sz w:val="24"/>
          <w:szCs w:val="24"/>
        </w:rPr>
      </w:pPr>
      <w:r w:rsidRPr="00044682">
        <w:rPr>
          <w:i/>
          <w:sz w:val="24"/>
          <w:szCs w:val="24"/>
        </w:rPr>
        <w:t>Current Status:</w:t>
      </w:r>
      <w:r w:rsidRPr="00044682">
        <w:rPr>
          <w:sz w:val="24"/>
          <w:szCs w:val="24"/>
        </w:rPr>
        <w:t xml:space="preserve"> Complete subject to this activity continuing, it is therefore recommended that recommendation 5 is closed.</w:t>
      </w:r>
    </w:p>
    <w:p w:rsidR="00A80761" w:rsidRPr="00044682" w:rsidRDefault="00A80761" w:rsidP="00D647F3">
      <w:pPr>
        <w:jc w:val="both"/>
        <w:rPr>
          <w:rFonts w:cs="Arial"/>
          <w:szCs w:val="24"/>
        </w:rPr>
      </w:pPr>
    </w:p>
    <w:p w:rsidR="00A80761" w:rsidRPr="00044682" w:rsidRDefault="00A80761" w:rsidP="00D647F3">
      <w:pPr>
        <w:pStyle w:val="ListParagraph"/>
        <w:ind w:left="360"/>
        <w:rPr>
          <w:sz w:val="24"/>
          <w:szCs w:val="24"/>
        </w:rPr>
      </w:pPr>
    </w:p>
    <w:p w:rsidR="00A80761" w:rsidRPr="00044682" w:rsidRDefault="00A80761" w:rsidP="00D647F3">
      <w:pPr>
        <w:pStyle w:val="ListParagraph"/>
        <w:numPr>
          <w:ilvl w:val="1"/>
          <w:numId w:val="4"/>
        </w:numPr>
        <w:jc w:val="both"/>
        <w:rPr>
          <w:sz w:val="24"/>
          <w:szCs w:val="24"/>
        </w:rPr>
      </w:pPr>
      <w:r w:rsidRPr="00044682">
        <w:rPr>
          <w:i/>
          <w:sz w:val="24"/>
          <w:szCs w:val="24"/>
          <w:u w:val="single"/>
        </w:rPr>
        <w:t>Recommendation 6</w:t>
      </w:r>
      <w:r w:rsidRPr="00044682">
        <w:rPr>
          <w:i/>
          <w:sz w:val="24"/>
          <w:szCs w:val="24"/>
        </w:rPr>
        <w:t>:</w:t>
      </w:r>
      <w:r w:rsidRPr="00044682">
        <w:rPr>
          <w:sz w:val="24"/>
          <w:szCs w:val="24"/>
        </w:rPr>
        <w:t xml:space="preserve"> That all relevant strategies produced by the Council reference the Regeneration Programme and how they contribute to or are impacted by it.</w:t>
      </w:r>
    </w:p>
    <w:p w:rsidR="00A80761" w:rsidRPr="00044682" w:rsidRDefault="00A80761" w:rsidP="00D647F3">
      <w:pPr>
        <w:pStyle w:val="ListParagraph"/>
        <w:ind w:left="360"/>
        <w:jc w:val="both"/>
        <w:rPr>
          <w:sz w:val="24"/>
          <w:szCs w:val="24"/>
        </w:rPr>
      </w:pPr>
    </w:p>
    <w:p w:rsidR="00A80761" w:rsidRPr="00044682" w:rsidRDefault="00A80761" w:rsidP="00D647F3">
      <w:pPr>
        <w:ind w:left="360"/>
        <w:jc w:val="both"/>
        <w:rPr>
          <w:rFonts w:cs="Arial"/>
          <w:szCs w:val="24"/>
        </w:rPr>
      </w:pPr>
      <w:r w:rsidRPr="00044682">
        <w:rPr>
          <w:rFonts w:cs="Arial"/>
          <w:i/>
          <w:szCs w:val="24"/>
        </w:rPr>
        <w:t>Update on Progress:</w:t>
      </w:r>
      <w:r w:rsidRPr="00044682">
        <w:rPr>
          <w:rFonts w:cs="Arial"/>
          <w:szCs w:val="24"/>
        </w:rPr>
        <w:t xml:space="preserve"> A report to Council on 18 July 2019 proposed changes to the constitution further defining the role of Corporate Strategic Board (CSB) and Building a Better Harrow Board (BBHB) relating to “provision of strategic leadership”; “consideration and making of decisions on council issues which need cross council input and/or ownership to deliver”; and providing “a wider Strategic Direction on the interactions within Council services to meet the Councils Ambition plan”.</w:t>
      </w:r>
    </w:p>
    <w:p w:rsidR="00A80761" w:rsidRPr="00044682" w:rsidRDefault="00A80761" w:rsidP="00D647F3">
      <w:pPr>
        <w:jc w:val="both"/>
        <w:rPr>
          <w:rFonts w:cs="Arial"/>
          <w:szCs w:val="24"/>
        </w:rPr>
      </w:pPr>
    </w:p>
    <w:p w:rsidR="00A80761" w:rsidRPr="00044682" w:rsidRDefault="00A80761" w:rsidP="00D647F3">
      <w:pPr>
        <w:pStyle w:val="ListParagraph"/>
        <w:ind w:left="360"/>
        <w:jc w:val="both"/>
        <w:rPr>
          <w:sz w:val="24"/>
          <w:szCs w:val="24"/>
        </w:rPr>
      </w:pPr>
      <w:r w:rsidRPr="00044682">
        <w:rPr>
          <w:sz w:val="24"/>
          <w:szCs w:val="24"/>
        </w:rPr>
        <w:t>BABH monitors the performance and budget of all regeneration projects across the Council and provides CSB members with the opportunity to understand the wider remit of the current regeneration programme and interrelationships between different elements of the programme.</w:t>
      </w:r>
    </w:p>
    <w:p w:rsidR="00A80761" w:rsidRPr="00044682" w:rsidRDefault="00A80761" w:rsidP="00D647F3">
      <w:pPr>
        <w:pStyle w:val="ListParagraph"/>
        <w:ind w:left="360"/>
        <w:jc w:val="both"/>
        <w:rPr>
          <w:sz w:val="24"/>
          <w:szCs w:val="24"/>
        </w:rPr>
      </w:pPr>
    </w:p>
    <w:p w:rsidR="00A80761" w:rsidRPr="00044682" w:rsidRDefault="00A80761" w:rsidP="00D647F3">
      <w:pPr>
        <w:pStyle w:val="ListParagraph"/>
        <w:ind w:left="360"/>
        <w:jc w:val="both"/>
        <w:rPr>
          <w:sz w:val="24"/>
          <w:szCs w:val="24"/>
        </w:rPr>
      </w:pPr>
      <w:r w:rsidRPr="00044682">
        <w:rPr>
          <w:i/>
          <w:sz w:val="24"/>
          <w:szCs w:val="24"/>
        </w:rPr>
        <w:t>Current Status:</w:t>
      </w:r>
      <w:r w:rsidRPr="00044682">
        <w:rPr>
          <w:sz w:val="24"/>
          <w:szCs w:val="24"/>
        </w:rPr>
        <w:t xml:space="preserve"> Complete subject to this activity continuing, it is therefore recommended that recommendation 6 is closed.</w:t>
      </w:r>
    </w:p>
    <w:p w:rsidR="00A80761" w:rsidRPr="00044682" w:rsidRDefault="00A80761" w:rsidP="00D647F3">
      <w:pPr>
        <w:pStyle w:val="ListParagraph"/>
        <w:ind w:left="360"/>
        <w:jc w:val="both"/>
        <w:rPr>
          <w:sz w:val="24"/>
          <w:szCs w:val="24"/>
        </w:rPr>
      </w:pPr>
    </w:p>
    <w:p w:rsidR="00A80761" w:rsidRPr="00044682" w:rsidRDefault="00C23CFA" w:rsidP="00D647F3">
      <w:pPr>
        <w:pStyle w:val="ListParagraph"/>
        <w:numPr>
          <w:ilvl w:val="1"/>
          <w:numId w:val="4"/>
        </w:numPr>
        <w:jc w:val="both"/>
        <w:rPr>
          <w:sz w:val="24"/>
          <w:szCs w:val="24"/>
        </w:rPr>
      </w:pPr>
      <w:r w:rsidRPr="00044682">
        <w:rPr>
          <w:i/>
          <w:sz w:val="24"/>
          <w:szCs w:val="24"/>
          <w:u w:val="single"/>
        </w:rPr>
        <w:t>Recommendation 7</w:t>
      </w:r>
      <w:r w:rsidRPr="00044682">
        <w:rPr>
          <w:i/>
          <w:sz w:val="24"/>
          <w:szCs w:val="24"/>
        </w:rPr>
        <w:t>:</w:t>
      </w:r>
      <w:r w:rsidRPr="00044682">
        <w:rPr>
          <w:sz w:val="24"/>
          <w:szCs w:val="24"/>
        </w:rPr>
        <w:t xml:space="preserve"> That the Programme should investigate and learn from the 2008 financial crash and specifically what happened to rental prices in Harrow and further consider what a 20% - 30% downwards price correction would do to the For Sale strategy to make sure we better protect the financial viability of the programme. </w:t>
      </w:r>
    </w:p>
    <w:p w:rsidR="00C23CFA" w:rsidRPr="00044682" w:rsidRDefault="00C23CFA" w:rsidP="00D647F3">
      <w:pPr>
        <w:pStyle w:val="ListParagraph"/>
        <w:ind w:left="360"/>
        <w:jc w:val="both"/>
        <w:rPr>
          <w:sz w:val="24"/>
          <w:szCs w:val="24"/>
        </w:rPr>
      </w:pPr>
    </w:p>
    <w:p w:rsidR="00C23CFA" w:rsidRPr="00044682" w:rsidRDefault="00C23CFA" w:rsidP="00D647F3">
      <w:pPr>
        <w:ind w:left="360"/>
        <w:jc w:val="both"/>
        <w:rPr>
          <w:rFonts w:cs="Arial"/>
          <w:szCs w:val="24"/>
        </w:rPr>
      </w:pPr>
      <w:r w:rsidRPr="00044682">
        <w:rPr>
          <w:rFonts w:cs="Arial"/>
          <w:i/>
          <w:szCs w:val="24"/>
        </w:rPr>
        <w:t>Update on Progress:</w:t>
      </w:r>
      <w:r w:rsidRPr="00044682">
        <w:rPr>
          <w:rFonts w:cs="Arial"/>
          <w:szCs w:val="24"/>
        </w:rPr>
        <w:t xml:space="preserve"> Sales value assumptions for directly delivery schemes (Haslam and Waxwell) have been updated and sensitivity analysis carried out to show what the impact adverse prices would have on sales value. This continues to be monitored through the budget monitoring process. Project models have a facility to enable a number of potential scenarios to be tested.</w:t>
      </w:r>
    </w:p>
    <w:p w:rsidR="00C23CFA" w:rsidRPr="00044682" w:rsidRDefault="00C23CFA" w:rsidP="00D647F3">
      <w:pPr>
        <w:pStyle w:val="ListParagraph"/>
        <w:jc w:val="both"/>
        <w:rPr>
          <w:sz w:val="24"/>
          <w:szCs w:val="24"/>
        </w:rPr>
      </w:pPr>
    </w:p>
    <w:p w:rsidR="00C23CFA" w:rsidRPr="00044682" w:rsidRDefault="00C23CFA" w:rsidP="00D647F3">
      <w:pPr>
        <w:ind w:left="360"/>
        <w:jc w:val="both"/>
        <w:rPr>
          <w:rFonts w:cs="Arial"/>
          <w:szCs w:val="24"/>
        </w:rPr>
      </w:pPr>
      <w:r w:rsidRPr="00044682">
        <w:rPr>
          <w:rFonts w:cs="Arial"/>
          <w:i/>
          <w:szCs w:val="24"/>
        </w:rPr>
        <w:t>Current Status:</w:t>
      </w:r>
      <w:r w:rsidRPr="00044682">
        <w:rPr>
          <w:rFonts w:cs="Arial"/>
          <w:szCs w:val="24"/>
        </w:rPr>
        <w:t xml:space="preserve"> Complete subject to this activity continuing, it is therefore recommended that recommendation 7 is closed.</w:t>
      </w:r>
    </w:p>
    <w:p w:rsidR="00C23CFA" w:rsidRPr="00044682" w:rsidRDefault="00C23CFA" w:rsidP="00D647F3">
      <w:pPr>
        <w:ind w:left="360"/>
        <w:jc w:val="both"/>
        <w:rPr>
          <w:rFonts w:cs="Arial"/>
          <w:szCs w:val="24"/>
        </w:rPr>
      </w:pPr>
    </w:p>
    <w:p w:rsidR="00C23CFA" w:rsidRPr="00044682" w:rsidRDefault="00C23CFA" w:rsidP="00D647F3">
      <w:pPr>
        <w:pStyle w:val="ListParagraph"/>
        <w:numPr>
          <w:ilvl w:val="1"/>
          <w:numId w:val="4"/>
        </w:numPr>
        <w:jc w:val="both"/>
        <w:rPr>
          <w:sz w:val="24"/>
          <w:szCs w:val="24"/>
        </w:rPr>
      </w:pPr>
      <w:r w:rsidRPr="00044682">
        <w:rPr>
          <w:i/>
          <w:sz w:val="24"/>
          <w:szCs w:val="24"/>
          <w:u w:val="single"/>
        </w:rPr>
        <w:lastRenderedPageBreak/>
        <w:t>Recommendation 8</w:t>
      </w:r>
      <w:r w:rsidRPr="00044682">
        <w:rPr>
          <w:i/>
          <w:sz w:val="24"/>
          <w:szCs w:val="24"/>
        </w:rPr>
        <w:t>:</w:t>
      </w:r>
      <w:r w:rsidRPr="00044682">
        <w:rPr>
          <w:sz w:val="24"/>
          <w:szCs w:val="24"/>
        </w:rPr>
        <w:t xml:space="preserve"> The panel recommends that the break-even point for all planned regeneration projects is constantly reviewed, and that appropriate steps are taken to address any adverse change.</w:t>
      </w:r>
    </w:p>
    <w:p w:rsidR="00C23CFA" w:rsidRPr="00044682" w:rsidRDefault="00C23CFA" w:rsidP="00D647F3">
      <w:pPr>
        <w:pStyle w:val="ListParagraph"/>
        <w:ind w:left="360"/>
        <w:jc w:val="both"/>
        <w:rPr>
          <w:sz w:val="24"/>
          <w:szCs w:val="24"/>
        </w:rPr>
      </w:pPr>
    </w:p>
    <w:p w:rsidR="00C23CFA" w:rsidRPr="00044682" w:rsidRDefault="00C23CFA" w:rsidP="00D647F3">
      <w:pPr>
        <w:ind w:left="360"/>
        <w:jc w:val="both"/>
        <w:rPr>
          <w:rFonts w:cs="Arial"/>
          <w:szCs w:val="24"/>
        </w:rPr>
      </w:pPr>
      <w:r w:rsidRPr="00044682">
        <w:rPr>
          <w:rFonts w:cs="Arial"/>
          <w:i/>
          <w:szCs w:val="24"/>
        </w:rPr>
        <w:t>Update on Progress:</w:t>
      </w:r>
      <w:r w:rsidRPr="00044682">
        <w:rPr>
          <w:rFonts w:cs="Arial"/>
          <w:szCs w:val="24"/>
        </w:rPr>
        <w:t xml:space="preserve"> As per above (Recommendation 7), the break-even point for the two direct delivery schemes (Haslam and Waxwell) going forward is reviewed regularly as part of the monitoring process.</w:t>
      </w:r>
      <w:r w:rsidR="00AD7102" w:rsidRPr="00044682">
        <w:rPr>
          <w:rFonts w:cs="Arial"/>
          <w:szCs w:val="24"/>
        </w:rPr>
        <w:t xml:space="preserve"> </w:t>
      </w:r>
      <w:r w:rsidRPr="00044682">
        <w:rPr>
          <w:rFonts w:cs="Arial"/>
          <w:szCs w:val="24"/>
        </w:rPr>
        <w:t>For the remainder of the programme, whose delivery is still under discussion, the issue of financial viability, which will include break-even, is critical to the Strategic Development Partner evaluation process.</w:t>
      </w:r>
    </w:p>
    <w:p w:rsidR="00C23CFA" w:rsidRPr="00044682" w:rsidRDefault="00C23CFA" w:rsidP="00D647F3">
      <w:pPr>
        <w:jc w:val="both"/>
        <w:rPr>
          <w:rFonts w:cs="Arial"/>
          <w:szCs w:val="24"/>
        </w:rPr>
      </w:pPr>
    </w:p>
    <w:p w:rsidR="00A80761" w:rsidRPr="00044682" w:rsidRDefault="00C23CFA" w:rsidP="00D647F3">
      <w:pPr>
        <w:ind w:left="360"/>
        <w:jc w:val="both"/>
        <w:rPr>
          <w:rFonts w:cs="Arial"/>
          <w:szCs w:val="24"/>
        </w:rPr>
      </w:pPr>
      <w:r w:rsidRPr="00044682">
        <w:rPr>
          <w:rFonts w:cs="Arial"/>
          <w:i/>
          <w:szCs w:val="24"/>
        </w:rPr>
        <w:t>Current Status:</w:t>
      </w:r>
      <w:r w:rsidRPr="00044682">
        <w:rPr>
          <w:rFonts w:cs="Arial"/>
          <w:szCs w:val="24"/>
        </w:rPr>
        <w:t xml:space="preserve"> Complete subject to this activity continuing, it is therefore recommended </w:t>
      </w:r>
      <w:r w:rsidR="00AD7102" w:rsidRPr="00044682">
        <w:rPr>
          <w:rFonts w:cs="Arial"/>
          <w:szCs w:val="24"/>
        </w:rPr>
        <w:t>that</w:t>
      </w:r>
      <w:r w:rsidRPr="00044682">
        <w:rPr>
          <w:rFonts w:cs="Arial"/>
          <w:szCs w:val="24"/>
        </w:rPr>
        <w:t xml:space="preserve"> recommendation 8 is closed.</w:t>
      </w:r>
    </w:p>
    <w:p w:rsidR="00434092" w:rsidRPr="00044682" w:rsidRDefault="00434092" w:rsidP="00D647F3">
      <w:pPr>
        <w:pStyle w:val="ListParagraph"/>
        <w:jc w:val="both"/>
        <w:rPr>
          <w:sz w:val="24"/>
          <w:szCs w:val="24"/>
        </w:rPr>
      </w:pPr>
    </w:p>
    <w:p w:rsidR="00434092" w:rsidRPr="00044682" w:rsidRDefault="00AD7102" w:rsidP="00D647F3">
      <w:pPr>
        <w:pStyle w:val="ListParagraph"/>
        <w:numPr>
          <w:ilvl w:val="1"/>
          <w:numId w:val="4"/>
        </w:numPr>
        <w:jc w:val="both"/>
        <w:rPr>
          <w:sz w:val="24"/>
          <w:szCs w:val="24"/>
        </w:rPr>
      </w:pPr>
      <w:r w:rsidRPr="00044682">
        <w:rPr>
          <w:i/>
          <w:sz w:val="24"/>
          <w:szCs w:val="24"/>
          <w:u w:val="single"/>
        </w:rPr>
        <w:t>Recommendation 9:</w:t>
      </w:r>
      <w:r w:rsidRPr="00044682">
        <w:rPr>
          <w:sz w:val="24"/>
          <w:szCs w:val="24"/>
        </w:rPr>
        <w:t xml:space="preserve"> To understand the implications of the 2020 business rates recalculation on the Civic Centre and Kodak sites; to ensure a reduction in notional business rates for the borough; and to establish a proactive lobbying strategy (particularly with Ministry of Homes, Communities, and Local Government (MHCLG), and Treasury) to ensure an exemption in business rates for both sites.</w:t>
      </w:r>
    </w:p>
    <w:p w:rsidR="00AD7102" w:rsidRPr="00044682" w:rsidRDefault="00AD7102" w:rsidP="00D647F3">
      <w:pPr>
        <w:jc w:val="both"/>
        <w:rPr>
          <w:rFonts w:cs="Arial"/>
          <w:szCs w:val="24"/>
        </w:rPr>
      </w:pPr>
    </w:p>
    <w:p w:rsidR="00AD7102" w:rsidRPr="00044682" w:rsidRDefault="00AD7102" w:rsidP="00D647F3">
      <w:pPr>
        <w:ind w:left="360"/>
        <w:jc w:val="both"/>
        <w:rPr>
          <w:rFonts w:cs="Arial"/>
          <w:szCs w:val="24"/>
          <w:lang w:val="en" w:eastAsia="en-GB"/>
        </w:rPr>
      </w:pPr>
      <w:r w:rsidRPr="00044682">
        <w:rPr>
          <w:rFonts w:cs="Arial"/>
          <w:i/>
          <w:szCs w:val="24"/>
        </w:rPr>
        <w:t>Update on Progress:</w:t>
      </w:r>
      <w:r w:rsidRPr="00044682">
        <w:rPr>
          <w:rFonts w:cs="Arial"/>
          <w:szCs w:val="24"/>
          <w:lang w:val="en" w:eastAsia="en-GB"/>
        </w:rPr>
        <w:t xml:space="preserve"> </w:t>
      </w:r>
      <w:r w:rsidR="001B393E" w:rsidRPr="00044682">
        <w:rPr>
          <w:rFonts w:cs="Arial"/>
          <w:szCs w:val="24"/>
          <w:lang w:val="en" w:eastAsia="en-GB"/>
        </w:rPr>
        <w:t>The Business Rates re-baseline by Government has been delayed by at least 1 year and additionally, there is another rate revaluation is due on 1</w:t>
      </w:r>
      <w:r w:rsidR="001B393E" w:rsidRPr="00044682">
        <w:rPr>
          <w:rFonts w:cs="Arial"/>
          <w:szCs w:val="24"/>
          <w:vertAlign w:val="superscript"/>
          <w:lang w:val="en" w:eastAsia="en-GB"/>
        </w:rPr>
        <w:t>st</w:t>
      </w:r>
      <w:r w:rsidR="001B393E" w:rsidRPr="00044682">
        <w:rPr>
          <w:rFonts w:cs="Arial"/>
          <w:szCs w:val="24"/>
          <w:lang w:val="en" w:eastAsia="en-GB"/>
        </w:rPr>
        <w:t xml:space="preserve"> April 2021.  </w:t>
      </w:r>
      <w:r w:rsidR="001B393E" w:rsidRPr="00044682">
        <w:rPr>
          <w:rFonts w:cs="Arial"/>
          <w:szCs w:val="24"/>
        </w:rPr>
        <w:t xml:space="preserve">As the existing Civic Centre will not be removed from the ratings list for a number of years and the Kodak site has already been removed from the ratings list (these being the two largest in Harrow).  There is now no immediate impact on the business rates. </w:t>
      </w:r>
    </w:p>
    <w:p w:rsidR="00AD7102" w:rsidRPr="00044682" w:rsidRDefault="00AD7102" w:rsidP="00D647F3">
      <w:pPr>
        <w:jc w:val="both"/>
        <w:rPr>
          <w:rFonts w:cs="Arial"/>
          <w:szCs w:val="24"/>
        </w:rPr>
      </w:pPr>
    </w:p>
    <w:p w:rsidR="00AD7102" w:rsidRPr="00044682" w:rsidRDefault="00AD7102" w:rsidP="00D647F3">
      <w:pPr>
        <w:ind w:left="360"/>
        <w:jc w:val="both"/>
        <w:rPr>
          <w:rFonts w:cs="Arial"/>
          <w:szCs w:val="24"/>
        </w:rPr>
      </w:pPr>
      <w:r w:rsidRPr="00044682">
        <w:rPr>
          <w:rFonts w:cs="Arial"/>
          <w:i/>
          <w:szCs w:val="24"/>
        </w:rPr>
        <w:t>Current Status:</w:t>
      </w:r>
      <w:r w:rsidRPr="00044682">
        <w:rPr>
          <w:rFonts w:cs="Arial"/>
          <w:szCs w:val="24"/>
        </w:rPr>
        <w:t xml:space="preserve"> Complete subject to this activity continuing, it is </w:t>
      </w:r>
      <w:r w:rsidR="001B393E" w:rsidRPr="00044682">
        <w:rPr>
          <w:rFonts w:cs="Arial"/>
          <w:szCs w:val="24"/>
        </w:rPr>
        <w:t xml:space="preserve">therefore.  </w:t>
      </w:r>
      <w:r w:rsidRPr="00044682">
        <w:rPr>
          <w:rFonts w:cs="Arial"/>
          <w:szCs w:val="24"/>
        </w:rPr>
        <w:t>recommended that recommendation 9 is closed.</w:t>
      </w:r>
    </w:p>
    <w:p w:rsidR="00AD7102" w:rsidRPr="00044682" w:rsidRDefault="00AD7102" w:rsidP="00D647F3">
      <w:pPr>
        <w:jc w:val="both"/>
        <w:rPr>
          <w:rFonts w:cs="Arial"/>
          <w:szCs w:val="24"/>
        </w:rPr>
      </w:pPr>
    </w:p>
    <w:p w:rsidR="00AD7102" w:rsidRPr="00044682" w:rsidRDefault="00AD7102" w:rsidP="00044682">
      <w:pPr>
        <w:pStyle w:val="ListParagraph"/>
        <w:numPr>
          <w:ilvl w:val="1"/>
          <w:numId w:val="4"/>
        </w:numPr>
        <w:jc w:val="both"/>
        <w:rPr>
          <w:sz w:val="24"/>
          <w:szCs w:val="24"/>
        </w:rPr>
      </w:pPr>
      <w:r w:rsidRPr="00044682">
        <w:rPr>
          <w:i/>
          <w:sz w:val="24"/>
          <w:szCs w:val="24"/>
          <w:u w:val="single"/>
        </w:rPr>
        <w:t>Recommendation 10:</w:t>
      </w:r>
      <w:r w:rsidRPr="00044682">
        <w:rPr>
          <w:sz w:val="24"/>
          <w:szCs w:val="24"/>
        </w:rPr>
        <w:t xml:space="preserve"> The panel recommend that modelling of the new Civic Centre should reflect the efficiency of the new Civic Centre for staff and maintenance costs, so that we get the true opportunity costs of any delay, including a reduction in business rates.</w:t>
      </w:r>
    </w:p>
    <w:p w:rsidR="00AD7102" w:rsidRPr="00044682" w:rsidRDefault="00AD7102" w:rsidP="00D647F3">
      <w:pPr>
        <w:pStyle w:val="ListParagraph"/>
        <w:ind w:left="360"/>
        <w:jc w:val="both"/>
        <w:rPr>
          <w:sz w:val="24"/>
          <w:szCs w:val="24"/>
        </w:rPr>
      </w:pPr>
    </w:p>
    <w:p w:rsidR="000164DB" w:rsidRPr="00044682" w:rsidRDefault="00AD7102" w:rsidP="00D647F3">
      <w:pPr>
        <w:ind w:left="360"/>
        <w:jc w:val="both"/>
        <w:rPr>
          <w:rFonts w:cs="Arial"/>
          <w:color w:val="000000"/>
          <w:szCs w:val="24"/>
        </w:rPr>
      </w:pPr>
      <w:r w:rsidRPr="00044682">
        <w:rPr>
          <w:rFonts w:cs="Arial"/>
          <w:i/>
          <w:szCs w:val="24"/>
        </w:rPr>
        <w:t>Update on Progress:</w:t>
      </w:r>
      <w:r w:rsidRPr="00044682">
        <w:rPr>
          <w:rFonts w:cs="Arial"/>
          <w:color w:val="000000"/>
          <w:szCs w:val="24"/>
        </w:rPr>
        <w:t xml:space="preserve"> The Council is in the process of procuring a Strategic Development Partner for its Regeneration Programme covering three key council sites. This process includes provision of a new Civic Centre on one these sites.</w:t>
      </w:r>
      <w:r w:rsidR="000164DB" w:rsidRPr="00044682">
        <w:rPr>
          <w:rFonts w:cs="Arial"/>
          <w:color w:val="000000"/>
          <w:szCs w:val="24"/>
        </w:rPr>
        <w:t xml:space="preserve">  </w:t>
      </w:r>
      <w:r w:rsidRPr="00044682">
        <w:rPr>
          <w:rFonts w:cs="Arial"/>
          <w:color w:val="000000"/>
          <w:szCs w:val="24"/>
        </w:rPr>
        <w:t xml:space="preserve">As part of the process, it is very clear that the imperative for the new Civic Centre is that it is cost neutral (build costs) and meets the specification provided. </w:t>
      </w:r>
      <w:r w:rsidR="000164DB" w:rsidRPr="00044682">
        <w:rPr>
          <w:rFonts w:cs="Arial"/>
          <w:color w:val="000000"/>
          <w:szCs w:val="24"/>
        </w:rPr>
        <w:t>The</w:t>
      </w:r>
      <w:r w:rsidRPr="00044682">
        <w:rPr>
          <w:rFonts w:cs="Arial"/>
          <w:color w:val="000000"/>
          <w:szCs w:val="24"/>
        </w:rPr>
        <w:t xml:space="preserve"> revenue costs are being modelled alongside the procurement process and will be concluded once the outcomes of the process is known which will set the design and delivery method of the new civic centre.</w:t>
      </w:r>
      <w:r w:rsidR="000164DB" w:rsidRPr="00044682">
        <w:rPr>
          <w:rFonts w:cs="Arial"/>
          <w:color w:val="000000"/>
          <w:szCs w:val="24"/>
        </w:rPr>
        <w:t xml:space="preserve">  </w:t>
      </w:r>
    </w:p>
    <w:p w:rsidR="000164DB" w:rsidRPr="00044682" w:rsidRDefault="000164DB" w:rsidP="00D647F3">
      <w:pPr>
        <w:ind w:left="360"/>
        <w:jc w:val="both"/>
        <w:rPr>
          <w:rFonts w:cs="Arial"/>
          <w:color w:val="000000"/>
          <w:szCs w:val="24"/>
        </w:rPr>
      </w:pPr>
    </w:p>
    <w:p w:rsidR="00AD7102" w:rsidRPr="00044682" w:rsidRDefault="00AD7102" w:rsidP="00D647F3">
      <w:pPr>
        <w:ind w:left="360"/>
        <w:jc w:val="both"/>
        <w:rPr>
          <w:rFonts w:cs="Arial"/>
          <w:szCs w:val="24"/>
        </w:rPr>
      </w:pPr>
      <w:r w:rsidRPr="00044682">
        <w:rPr>
          <w:rFonts w:cs="Arial"/>
          <w:i/>
          <w:szCs w:val="24"/>
        </w:rPr>
        <w:t>Current Status:</w:t>
      </w:r>
      <w:r w:rsidRPr="00044682">
        <w:rPr>
          <w:rFonts w:cs="Arial"/>
          <w:szCs w:val="24"/>
        </w:rPr>
        <w:t xml:space="preserve"> Complete, </w:t>
      </w:r>
      <w:r w:rsidR="000164DB" w:rsidRPr="00044682">
        <w:rPr>
          <w:rFonts w:cs="Arial"/>
          <w:color w:val="000000"/>
          <w:szCs w:val="24"/>
        </w:rPr>
        <w:t>n</w:t>
      </w:r>
      <w:r w:rsidRPr="00044682">
        <w:rPr>
          <w:rFonts w:cs="Arial"/>
          <w:color w:val="000000"/>
          <w:szCs w:val="24"/>
        </w:rPr>
        <w:t xml:space="preserve">ow part of the HSDP procurement process. The </w:t>
      </w:r>
      <w:r w:rsidR="001B393E" w:rsidRPr="00044682">
        <w:rPr>
          <w:rFonts w:cs="Arial"/>
          <w:color w:val="000000"/>
          <w:szCs w:val="24"/>
        </w:rPr>
        <w:t>cabinet report for a decision is anticipated in June 2020</w:t>
      </w:r>
      <w:r w:rsidRPr="00044682">
        <w:rPr>
          <w:rFonts w:cs="Arial"/>
          <w:color w:val="000000"/>
          <w:szCs w:val="24"/>
        </w:rPr>
        <w:t xml:space="preserve"> by which time the 2020/21 Budget will be approved. If any amendments are required to the 2020/21 Budget, these will be enacted and reported in line with Financial Regulations.  It </w:t>
      </w:r>
      <w:r w:rsidR="000164DB" w:rsidRPr="00044682">
        <w:rPr>
          <w:rFonts w:cs="Arial"/>
          <w:color w:val="000000"/>
          <w:szCs w:val="24"/>
        </w:rPr>
        <w:t xml:space="preserve">is </w:t>
      </w:r>
      <w:r w:rsidR="000164DB" w:rsidRPr="00044682">
        <w:rPr>
          <w:rFonts w:cs="Arial"/>
          <w:szCs w:val="24"/>
        </w:rPr>
        <w:t>therefore</w:t>
      </w:r>
      <w:r w:rsidRPr="00044682">
        <w:rPr>
          <w:rFonts w:cs="Arial"/>
          <w:szCs w:val="24"/>
        </w:rPr>
        <w:t xml:space="preserve"> recommended that recommendation 10 is closed.</w:t>
      </w:r>
    </w:p>
    <w:p w:rsidR="00AD7102" w:rsidRPr="00044682" w:rsidRDefault="00AD7102" w:rsidP="00D647F3">
      <w:pPr>
        <w:jc w:val="both"/>
        <w:rPr>
          <w:rFonts w:cs="Arial"/>
          <w:szCs w:val="24"/>
        </w:rPr>
      </w:pPr>
    </w:p>
    <w:p w:rsidR="00AD7102" w:rsidRPr="00044682" w:rsidRDefault="000164DB" w:rsidP="00D647F3">
      <w:pPr>
        <w:pStyle w:val="ListParagraph"/>
        <w:numPr>
          <w:ilvl w:val="1"/>
          <w:numId w:val="4"/>
        </w:numPr>
        <w:jc w:val="both"/>
        <w:rPr>
          <w:sz w:val="24"/>
          <w:szCs w:val="24"/>
        </w:rPr>
      </w:pPr>
      <w:r w:rsidRPr="00044682">
        <w:rPr>
          <w:i/>
          <w:sz w:val="24"/>
          <w:szCs w:val="24"/>
          <w:u w:val="single"/>
        </w:rPr>
        <w:t>Recommendation 11:</w:t>
      </w:r>
      <w:r w:rsidRPr="00044682">
        <w:rPr>
          <w:i/>
          <w:sz w:val="24"/>
          <w:szCs w:val="24"/>
        </w:rPr>
        <w:t xml:space="preserve"> To </w:t>
      </w:r>
      <w:r w:rsidRPr="00044682">
        <w:rPr>
          <w:sz w:val="24"/>
          <w:szCs w:val="24"/>
        </w:rPr>
        <w:t xml:space="preserve">formalise governance arrangements for cross-party engagement on the regeneration programme post-election, and establish a public forum, either through the Major Developments Panel as it currently exists, or by expanding the remit of this Panel, or establishing a new, specific Regeneration Panel.  </w:t>
      </w:r>
    </w:p>
    <w:p w:rsidR="000164DB" w:rsidRPr="00044682" w:rsidRDefault="000164DB" w:rsidP="00D647F3">
      <w:pPr>
        <w:jc w:val="both"/>
        <w:rPr>
          <w:rFonts w:cs="Arial"/>
          <w:szCs w:val="24"/>
        </w:rPr>
      </w:pPr>
    </w:p>
    <w:p w:rsidR="000164DB" w:rsidRPr="00044682" w:rsidRDefault="000164DB" w:rsidP="00D647F3">
      <w:pPr>
        <w:ind w:left="360"/>
        <w:jc w:val="both"/>
        <w:rPr>
          <w:rFonts w:cs="Arial"/>
          <w:szCs w:val="24"/>
        </w:rPr>
      </w:pPr>
      <w:r w:rsidRPr="00044682">
        <w:rPr>
          <w:rFonts w:cs="Arial"/>
          <w:i/>
          <w:szCs w:val="24"/>
        </w:rPr>
        <w:t xml:space="preserve">Update on Progress: </w:t>
      </w:r>
      <w:r w:rsidRPr="00044682">
        <w:rPr>
          <w:rFonts w:cs="Arial"/>
          <w:szCs w:val="24"/>
        </w:rPr>
        <w:t>Formal cross-party arrangements include the</w:t>
      </w:r>
      <w:r w:rsidR="00673FAB" w:rsidRPr="00044682">
        <w:rPr>
          <w:rFonts w:cs="Arial"/>
          <w:szCs w:val="24"/>
        </w:rPr>
        <w:t xml:space="preserve"> Major Developments Panel, </w:t>
      </w:r>
      <w:r w:rsidRPr="00044682">
        <w:rPr>
          <w:rFonts w:cs="Arial"/>
          <w:szCs w:val="24"/>
        </w:rPr>
        <w:t xml:space="preserve">and the public Regeneration Residents’ Panel which continues to meet on a quarterly basis – the last meeting was 17 September. Informal meetings with </w:t>
      </w:r>
      <w:r w:rsidR="00190B5A" w:rsidRPr="00044682">
        <w:rPr>
          <w:rFonts w:cs="Arial"/>
          <w:szCs w:val="24"/>
        </w:rPr>
        <w:t>Officers,</w:t>
      </w:r>
      <w:r w:rsidR="00A22699" w:rsidRPr="00044682">
        <w:rPr>
          <w:rFonts w:cs="Arial"/>
          <w:szCs w:val="24"/>
        </w:rPr>
        <w:t xml:space="preserve"> </w:t>
      </w:r>
      <w:r w:rsidR="00190B5A" w:rsidRPr="00044682">
        <w:rPr>
          <w:rFonts w:cs="Arial"/>
          <w:szCs w:val="24"/>
        </w:rPr>
        <w:t>P</w:t>
      </w:r>
      <w:r w:rsidRPr="00044682">
        <w:rPr>
          <w:rFonts w:cs="Arial"/>
          <w:szCs w:val="24"/>
        </w:rPr>
        <w:t xml:space="preserve">ortfolio </w:t>
      </w:r>
      <w:r w:rsidR="00190B5A" w:rsidRPr="00044682">
        <w:rPr>
          <w:rFonts w:cs="Arial"/>
          <w:szCs w:val="24"/>
        </w:rPr>
        <w:t>H</w:t>
      </w:r>
      <w:r w:rsidRPr="00044682">
        <w:rPr>
          <w:rFonts w:cs="Arial"/>
          <w:szCs w:val="24"/>
        </w:rPr>
        <w:t xml:space="preserve">olders </w:t>
      </w:r>
      <w:r w:rsidR="00673FAB" w:rsidRPr="00044682">
        <w:rPr>
          <w:rFonts w:cs="Arial"/>
          <w:szCs w:val="24"/>
        </w:rPr>
        <w:t>and Shadow Portfolio Holde</w:t>
      </w:r>
      <w:r w:rsidR="00190B5A" w:rsidRPr="00044682">
        <w:rPr>
          <w:rFonts w:cs="Arial"/>
          <w:szCs w:val="24"/>
        </w:rPr>
        <w:t>rs</w:t>
      </w:r>
      <w:r w:rsidRPr="00044682">
        <w:rPr>
          <w:rFonts w:cs="Arial"/>
          <w:szCs w:val="24"/>
        </w:rPr>
        <w:t xml:space="preserve"> held regularly.</w:t>
      </w:r>
      <w:r w:rsidR="00673FAB" w:rsidRPr="00044682">
        <w:rPr>
          <w:rFonts w:cs="Arial"/>
          <w:szCs w:val="24"/>
        </w:rPr>
        <w:t xml:space="preserve"> </w:t>
      </w:r>
      <w:r w:rsidR="00FC270D" w:rsidRPr="00044682">
        <w:rPr>
          <w:rFonts w:cs="Arial"/>
          <w:szCs w:val="24"/>
        </w:rPr>
        <w:t xml:space="preserve">There will be further opportunities for cross party working following the procurement of the Harrow Strategic Development Partnership.  </w:t>
      </w:r>
      <w:r w:rsidRPr="00044682">
        <w:rPr>
          <w:rFonts w:cs="Arial"/>
          <w:szCs w:val="24"/>
        </w:rPr>
        <w:t>Please also see response to recommendation 13.</w:t>
      </w:r>
    </w:p>
    <w:p w:rsidR="000164DB" w:rsidRPr="00044682" w:rsidRDefault="000164DB" w:rsidP="00D647F3">
      <w:pPr>
        <w:ind w:left="360"/>
        <w:jc w:val="both"/>
        <w:rPr>
          <w:rFonts w:cs="Arial"/>
          <w:szCs w:val="24"/>
        </w:rPr>
      </w:pPr>
    </w:p>
    <w:p w:rsidR="000164DB" w:rsidRPr="00044682" w:rsidRDefault="000164DB" w:rsidP="00D647F3">
      <w:pPr>
        <w:ind w:left="360"/>
        <w:jc w:val="both"/>
        <w:rPr>
          <w:rFonts w:cs="Arial"/>
          <w:szCs w:val="24"/>
        </w:rPr>
      </w:pPr>
      <w:r w:rsidRPr="00044682">
        <w:rPr>
          <w:rFonts w:cs="Arial"/>
          <w:i/>
          <w:szCs w:val="24"/>
        </w:rPr>
        <w:t>Current Status: This is o</w:t>
      </w:r>
      <w:r w:rsidR="00673FAB" w:rsidRPr="00044682">
        <w:rPr>
          <w:rFonts w:cs="Arial"/>
          <w:szCs w:val="24"/>
        </w:rPr>
        <w:t>ngoing, requirement to progress</w:t>
      </w:r>
      <w:r w:rsidRPr="00044682">
        <w:rPr>
          <w:rFonts w:cs="Arial"/>
          <w:szCs w:val="24"/>
        </w:rPr>
        <w:t xml:space="preserve"> further cross-party arrangements once HSDP established post June 2020.</w:t>
      </w:r>
    </w:p>
    <w:p w:rsidR="000164DB" w:rsidRPr="00044682" w:rsidRDefault="000164DB" w:rsidP="00D647F3">
      <w:pPr>
        <w:jc w:val="both"/>
        <w:rPr>
          <w:rFonts w:cs="Arial"/>
          <w:szCs w:val="24"/>
        </w:rPr>
      </w:pPr>
    </w:p>
    <w:p w:rsidR="00AD7102" w:rsidRPr="00044682" w:rsidRDefault="000164DB" w:rsidP="00D647F3">
      <w:pPr>
        <w:pStyle w:val="ListParagraph"/>
        <w:numPr>
          <w:ilvl w:val="1"/>
          <w:numId w:val="4"/>
        </w:numPr>
        <w:jc w:val="both"/>
        <w:rPr>
          <w:sz w:val="24"/>
          <w:szCs w:val="24"/>
        </w:rPr>
      </w:pPr>
      <w:r w:rsidRPr="00044682">
        <w:rPr>
          <w:i/>
          <w:sz w:val="24"/>
          <w:szCs w:val="24"/>
          <w:u w:val="single"/>
        </w:rPr>
        <w:t>Recommendation 12:</w:t>
      </w:r>
      <w:r w:rsidRPr="00044682">
        <w:rPr>
          <w:sz w:val="24"/>
          <w:szCs w:val="24"/>
        </w:rPr>
        <w:t xml:space="preserve"> For the Corporate Risk Register to reflect an overall risk and level of risk of the regeneration programme, and to include a risk on the Corporate Risk Register of each high value project (such as the Civic Centre) at the GARMS committee.</w:t>
      </w:r>
    </w:p>
    <w:p w:rsidR="000164DB" w:rsidRPr="00044682" w:rsidRDefault="000164DB" w:rsidP="00D647F3">
      <w:pPr>
        <w:pStyle w:val="ListParagraph"/>
        <w:ind w:left="360"/>
        <w:jc w:val="both"/>
        <w:rPr>
          <w:sz w:val="24"/>
          <w:szCs w:val="24"/>
        </w:rPr>
      </w:pPr>
    </w:p>
    <w:p w:rsidR="000164DB" w:rsidRPr="00044682" w:rsidRDefault="000164DB" w:rsidP="00D647F3">
      <w:pPr>
        <w:ind w:left="360"/>
        <w:jc w:val="both"/>
        <w:rPr>
          <w:rFonts w:cs="Arial"/>
          <w:szCs w:val="24"/>
        </w:rPr>
      </w:pPr>
      <w:r w:rsidRPr="00044682">
        <w:rPr>
          <w:rFonts w:cs="Arial"/>
          <w:i/>
          <w:szCs w:val="24"/>
        </w:rPr>
        <w:t xml:space="preserve">Update on Progress: </w:t>
      </w:r>
      <w:r w:rsidRPr="00044682">
        <w:rPr>
          <w:rFonts w:cs="Arial"/>
          <w:szCs w:val="24"/>
        </w:rPr>
        <w:t>Building a Better Harrow Board is currently informed about Regeneration Programme risks</w:t>
      </w:r>
      <w:r w:rsidR="00FC270D" w:rsidRPr="00044682">
        <w:rPr>
          <w:rFonts w:cs="Arial"/>
          <w:szCs w:val="24"/>
        </w:rPr>
        <w:t xml:space="preserve">.  </w:t>
      </w:r>
      <w:r w:rsidRPr="00044682">
        <w:rPr>
          <w:rFonts w:cs="Arial"/>
          <w:szCs w:val="24"/>
        </w:rPr>
        <w:t xml:space="preserve"> </w:t>
      </w:r>
      <w:r w:rsidR="00FC270D" w:rsidRPr="00044682">
        <w:rPr>
          <w:rFonts w:cs="Arial"/>
          <w:szCs w:val="24"/>
        </w:rPr>
        <w:t xml:space="preserve">The </w:t>
      </w:r>
      <w:r w:rsidRPr="00044682">
        <w:rPr>
          <w:rFonts w:cs="Arial"/>
          <w:szCs w:val="24"/>
        </w:rPr>
        <w:t>Corporate Risk Register item 4 relates to “Failure to deliver the council-led Regeneration Programme through the Harrow Strategic Development Partnership (HSDP)” and includes a detailed risk description, measures in places to manage the risk, and further actions to be undertaken. Risk is currently at a C2 level due to the potentially serious impact that not delivering the Programme would have on achievement of council Priorities.  Local project risks and issues are discussed on a monthly basis in project review meetings.  It’s anticipated that Regeneration Programme project (and risk) management is soon to be migrated onto SharePoint and that formation of risk registers, and escalation through correct channels, will be automated. Action with Business Transformation Team.</w:t>
      </w:r>
    </w:p>
    <w:p w:rsidR="000164DB" w:rsidRPr="00044682" w:rsidRDefault="000164DB" w:rsidP="00D647F3">
      <w:pPr>
        <w:ind w:left="360"/>
        <w:jc w:val="both"/>
        <w:rPr>
          <w:rFonts w:cs="Arial"/>
          <w:szCs w:val="24"/>
        </w:rPr>
      </w:pPr>
    </w:p>
    <w:p w:rsidR="000164DB" w:rsidRPr="00044682" w:rsidRDefault="000164DB" w:rsidP="00D647F3">
      <w:pPr>
        <w:ind w:left="360"/>
        <w:jc w:val="both"/>
        <w:rPr>
          <w:rFonts w:cs="Arial"/>
          <w:szCs w:val="24"/>
        </w:rPr>
      </w:pPr>
      <w:r w:rsidRPr="00044682">
        <w:rPr>
          <w:rFonts w:cs="Arial"/>
          <w:i/>
          <w:szCs w:val="24"/>
        </w:rPr>
        <w:t>Current Status:</w:t>
      </w:r>
      <w:r w:rsidRPr="00044682">
        <w:rPr>
          <w:rFonts w:cs="Arial"/>
          <w:szCs w:val="24"/>
        </w:rPr>
        <w:t xml:space="preserve"> Complete subject to this activity continuing, it is therefore recommended that recommendation 12 is closed.</w:t>
      </w:r>
    </w:p>
    <w:p w:rsidR="000164DB" w:rsidRPr="00044682" w:rsidRDefault="000164DB" w:rsidP="00D647F3">
      <w:pPr>
        <w:ind w:left="360"/>
        <w:jc w:val="both"/>
        <w:rPr>
          <w:rFonts w:cs="Arial"/>
          <w:szCs w:val="24"/>
        </w:rPr>
      </w:pPr>
    </w:p>
    <w:p w:rsidR="000164DB" w:rsidRPr="00044682" w:rsidRDefault="000164DB" w:rsidP="00D647F3">
      <w:pPr>
        <w:pStyle w:val="ListParagraph"/>
        <w:numPr>
          <w:ilvl w:val="1"/>
          <w:numId w:val="4"/>
        </w:numPr>
        <w:jc w:val="both"/>
        <w:rPr>
          <w:sz w:val="24"/>
          <w:szCs w:val="24"/>
        </w:rPr>
      </w:pPr>
      <w:r w:rsidRPr="00044682">
        <w:rPr>
          <w:i/>
          <w:sz w:val="24"/>
          <w:szCs w:val="24"/>
          <w:u w:val="single"/>
        </w:rPr>
        <w:t>Recommendation 13</w:t>
      </w:r>
      <w:r w:rsidRPr="00044682">
        <w:rPr>
          <w:i/>
          <w:sz w:val="24"/>
          <w:szCs w:val="24"/>
        </w:rPr>
        <w:t xml:space="preserve">: To </w:t>
      </w:r>
      <w:r w:rsidRPr="00044682">
        <w:rPr>
          <w:sz w:val="24"/>
          <w:szCs w:val="24"/>
        </w:rPr>
        <w:t>develop cross-party understanding of the critical pathways of the regeneration programme, and the timing of the “stop-go points”.</w:t>
      </w:r>
    </w:p>
    <w:p w:rsidR="000164DB" w:rsidRPr="00044682" w:rsidRDefault="000164DB" w:rsidP="00D647F3">
      <w:pPr>
        <w:pStyle w:val="ListParagraph"/>
        <w:ind w:left="360"/>
        <w:jc w:val="both"/>
        <w:rPr>
          <w:i/>
          <w:sz w:val="24"/>
          <w:szCs w:val="24"/>
        </w:rPr>
      </w:pPr>
    </w:p>
    <w:p w:rsidR="000164DB" w:rsidRPr="00044682" w:rsidRDefault="000164DB" w:rsidP="00D647F3">
      <w:pPr>
        <w:ind w:left="360"/>
        <w:jc w:val="both"/>
        <w:rPr>
          <w:rFonts w:cs="Arial"/>
          <w:i/>
          <w:szCs w:val="24"/>
        </w:rPr>
      </w:pPr>
      <w:r w:rsidRPr="00044682">
        <w:rPr>
          <w:rFonts w:cs="Arial"/>
          <w:i/>
          <w:szCs w:val="24"/>
        </w:rPr>
        <w:t>Update on Progress:</w:t>
      </w:r>
      <w:r w:rsidRPr="00044682">
        <w:rPr>
          <w:rFonts w:cs="Arial"/>
          <w:szCs w:val="24"/>
        </w:rPr>
        <w:t xml:space="preserve"> Please refer to Recommendation 11.   The last quarterly Regeneration Programme Update presented to Cabinet on 10 October 2019. Next update expected in January 2020.</w:t>
      </w:r>
    </w:p>
    <w:p w:rsidR="000164DB" w:rsidRPr="00044682" w:rsidRDefault="000164DB" w:rsidP="00D647F3">
      <w:pPr>
        <w:pStyle w:val="ListParagraph"/>
        <w:ind w:left="360"/>
        <w:jc w:val="both"/>
        <w:rPr>
          <w:i/>
          <w:sz w:val="24"/>
          <w:szCs w:val="24"/>
        </w:rPr>
      </w:pPr>
    </w:p>
    <w:p w:rsidR="000164DB" w:rsidRPr="00044682" w:rsidRDefault="000164DB" w:rsidP="00D647F3">
      <w:pPr>
        <w:ind w:left="360"/>
        <w:jc w:val="both"/>
        <w:rPr>
          <w:rFonts w:cs="Arial"/>
          <w:szCs w:val="24"/>
        </w:rPr>
      </w:pPr>
      <w:r w:rsidRPr="00044682">
        <w:rPr>
          <w:rFonts w:cs="Arial"/>
          <w:i/>
          <w:szCs w:val="24"/>
        </w:rPr>
        <w:t>Current Status:</w:t>
      </w:r>
      <w:r w:rsidRPr="00044682">
        <w:rPr>
          <w:rFonts w:cs="Arial"/>
          <w:szCs w:val="24"/>
        </w:rPr>
        <w:t xml:space="preserve"> Complete subject to this activity continuing, it is therefore recommended that recommendation 13 is closed.</w:t>
      </w:r>
    </w:p>
    <w:p w:rsidR="000164DB" w:rsidRPr="00044682" w:rsidRDefault="000164DB" w:rsidP="00D647F3">
      <w:pPr>
        <w:jc w:val="both"/>
        <w:rPr>
          <w:rFonts w:cs="Arial"/>
          <w:szCs w:val="24"/>
        </w:rPr>
      </w:pPr>
    </w:p>
    <w:p w:rsidR="000164DB" w:rsidRPr="00044682" w:rsidRDefault="00C01452" w:rsidP="00D647F3">
      <w:pPr>
        <w:pStyle w:val="ListParagraph"/>
        <w:numPr>
          <w:ilvl w:val="1"/>
          <w:numId w:val="4"/>
        </w:numPr>
        <w:jc w:val="both"/>
        <w:rPr>
          <w:sz w:val="24"/>
          <w:szCs w:val="24"/>
        </w:rPr>
      </w:pPr>
      <w:r w:rsidRPr="00044682">
        <w:rPr>
          <w:i/>
          <w:sz w:val="24"/>
          <w:szCs w:val="24"/>
          <w:u w:val="single"/>
        </w:rPr>
        <w:lastRenderedPageBreak/>
        <w:t>Recommendation 14</w:t>
      </w:r>
      <w:r w:rsidRPr="00044682">
        <w:rPr>
          <w:i/>
          <w:sz w:val="24"/>
          <w:szCs w:val="24"/>
        </w:rPr>
        <w:t xml:space="preserve">: To </w:t>
      </w:r>
      <w:r w:rsidRPr="00044682">
        <w:rPr>
          <w:sz w:val="24"/>
          <w:szCs w:val="24"/>
        </w:rPr>
        <w:t>ensure that other related bodies, such as the Health and Well-being Board, Harrow’s Clinical Commissioning Group, Safer Harrow, Harrow Youth Parliament, and all relevant and significant partners have an integrated approach to the Council’s regeneration strategy.</w:t>
      </w:r>
    </w:p>
    <w:p w:rsidR="00C01452" w:rsidRPr="00044682" w:rsidRDefault="00C01452" w:rsidP="00D647F3">
      <w:pPr>
        <w:pStyle w:val="ListParagraph"/>
        <w:ind w:left="360"/>
        <w:jc w:val="both"/>
        <w:rPr>
          <w:i/>
          <w:sz w:val="24"/>
          <w:szCs w:val="24"/>
        </w:rPr>
      </w:pPr>
    </w:p>
    <w:p w:rsidR="00C01452" w:rsidRPr="00044682" w:rsidRDefault="00C01452" w:rsidP="00D647F3">
      <w:pPr>
        <w:ind w:left="360"/>
        <w:jc w:val="both"/>
        <w:rPr>
          <w:rFonts w:cs="Arial"/>
          <w:szCs w:val="24"/>
        </w:rPr>
      </w:pPr>
      <w:r w:rsidRPr="00044682">
        <w:rPr>
          <w:rFonts w:cs="Arial"/>
          <w:i/>
          <w:szCs w:val="24"/>
        </w:rPr>
        <w:t xml:space="preserve">Update on Progress: </w:t>
      </w:r>
      <w:r w:rsidRPr="00044682">
        <w:rPr>
          <w:rFonts w:cs="Arial"/>
          <w:szCs w:val="24"/>
        </w:rPr>
        <w:t>Please refer to response to recommendation 6.  Corporate Senior Board (CSB) and Building a Better Harrow Board (BABHB) continue to have a role in ensuring all relevant and significant partners are engaged in the development and implementation of the programme.  Trial of a more proactive approach to engagement with local regeneration  is ongoing in Wealdstone: Wealdstone Action Group is supported by the Council with the aim to better understand community sentiment and explore how it can make a positive difference to the local area; Wealdstone Traders’ Association is being supported to develop its own action plan to help address some of the issues in the town centre; and work is underway to establish a high level working group to steer implementation of project and bids for further funding opportunities. The group has now met twice.</w:t>
      </w:r>
    </w:p>
    <w:p w:rsidR="00C01452" w:rsidRPr="00044682" w:rsidRDefault="00C01452" w:rsidP="00D647F3">
      <w:pPr>
        <w:jc w:val="both"/>
        <w:rPr>
          <w:rFonts w:cs="Arial"/>
          <w:szCs w:val="24"/>
        </w:rPr>
      </w:pPr>
    </w:p>
    <w:p w:rsidR="00C01452" w:rsidRPr="00044682" w:rsidRDefault="00C01452" w:rsidP="00D647F3">
      <w:pPr>
        <w:ind w:left="360"/>
        <w:jc w:val="both"/>
        <w:rPr>
          <w:rFonts w:cs="Arial"/>
          <w:szCs w:val="24"/>
        </w:rPr>
      </w:pPr>
      <w:r w:rsidRPr="00044682">
        <w:rPr>
          <w:rFonts w:cs="Arial"/>
          <w:i/>
          <w:szCs w:val="24"/>
        </w:rPr>
        <w:t>Current Status:</w:t>
      </w:r>
      <w:r w:rsidRPr="00044682">
        <w:rPr>
          <w:rFonts w:cs="Arial"/>
          <w:szCs w:val="24"/>
        </w:rPr>
        <w:t xml:space="preserve"> Complete subject to this activity continuing, it is therefore recommended that recommendation 14 is closed.</w:t>
      </w:r>
    </w:p>
    <w:p w:rsidR="00C01452" w:rsidRPr="00044682" w:rsidRDefault="00C01452" w:rsidP="00D647F3">
      <w:pPr>
        <w:ind w:left="360"/>
        <w:jc w:val="both"/>
        <w:rPr>
          <w:rFonts w:cs="Arial"/>
          <w:i/>
          <w:szCs w:val="24"/>
        </w:rPr>
      </w:pPr>
    </w:p>
    <w:p w:rsidR="00C01452" w:rsidRPr="00044682" w:rsidRDefault="00C01452" w:rsidP="00D647F3">
      <w:pPr>
        <w:ind w:left="360"/>
        <w:jc w:val="both"/>
        <w:rPr>
          <w:rFonts w:cs="Arial"/>
          <w:i/>
          <w:szCs w:val="24"/>
        </w:rPr>
      </w:pPr>
    </w:p>
    <w:p w:rsidR="00C01452" w:rsidRPr="00044682" w:rsidRDefault="00C01452" w:rsidP="00D647F3">
      <w:pPr>
        <w:pStyle w:val="ListParagraph"/>
        <w:numPr>
          <w:ilvl w:val="1"/>
          <w:numId w:val="4"/>
        </w:numPr>
        <w:jc w:val="both"/>
        <w:rPr>
          <w:sz w:val="24"/>
          <w:szCs w:val="24"/>
        </w:rPr>
      </w:pPr>
      <w:r w:rsidRPr="00044682">
        <w:rPr>
          <w:i/>
          <w:sz w:val="24"/>
          <w:szCs w:val="24"/>
          <w:u w:val="single"/>
        </w:rPr>
        <w:t>Recommendation 15:</w:t>
      </w:r>
      <w:r w:rsidRPr="00044682">
        <w:rPr>
          <w:sz w:val="24"/>
          <w:szCs w:val="24"/>
        </w:rPr>
        <w:t xml:space="preserve"> To continue to monitor and assess risks in relation to the likelihood of further interest rate rises.</w:t>
      </w:r>
    </w:p>
    <w:p w:rsidR="00C01452" w:rsidRPr="00044682" w:rsidRDefault="00C01452" w:rsidP="00D647F3">
      <w:pPr>
        <w:jc w:val="both"/>
        <w:rPr>
          <w:rFonts w:cs="Arial"/>
          <w:szCs w:val="24"/>
        </w:rPr>
      </w:pPr>
    </w:p>
    <w:p w:rsidR="00C01452" w:rsidRPr="00044682" w:rsidRDefault="00C01452" w:rsidP="00D647F3">
      <w:pPr>
        <w:ind w:left="360"/>
        <w:jc w:val="both"/>
        <w:rPr>
          <w:rFonts w:cs="Arial"/>
          <w:szCs w:val="24"/>
        </w:rPr>
      </w:pPr>
      <w:r w:rsidRPr="00044682">
        <w:rPr>
          <w:rFonts w:cs="Arial"/>
          <w:i/>
          <w:szCs w:val="24"/>
        </w:rPr>
        <w:t>Update on Progress:</w:t>
      </w:r>
      <w:r w:rsidRPr="00044682">
        <w:rPr>
          <w:rFonts w:cs="Arial"/>
          <w:szCs w:val="24"/>
        </w:rPr>
        <w:t xml:space="preserve"> The most appropriate debt management strategy for the Regeneration Programme is under constant review with the Council’s Treasury Management Advisors to ensure that the most appropriate borrowing opportunities are pursued and the borrowing is timely to minimise the cost of carry.</w:t>
      </w:r>
    </w:p>
    <w:p w:rsidR="00C01452" w:rsidRPr="00044682" w:rsidRDefault="00C01452" w:rsidP="00D647F3">
      <w:pPr>
        <w:jc w:val="both"/>
        <w:rPr>
          <w:rFonts w:cs="Arial"/>
          <w:szCs w:val="24"/>
        </w:rPr>
      </w:pPr>
    </w:p>
    <w:p w:rsidR="00C01452" w:rsidRPr="00044682" w:rsidRDefault="00C01452" w:rsidP="00D647F3">
      <w:pPr>
        <w:pStyle w:val="ListParagraph"/>
        <w:ind w:left="360"/>
        <w:jc w:val="both"/>
        <w:rPr>
          <w:sz w:val="24"/>
          <w:szCs w:val="24"/>
        </w:rPr>
      </w:pPr>
      <w:r w:rsidRPr="00044682">
        <w:rPr>
          <w:sz w:val="24"/>
          <w:szCs w:val="24"/>
        </w:rPr>
        <w:t>The monitoring of interest rates continues and sensitivity analysis carried out as part of viability and finance monitoring.</w:t>
      </w:r>
    </w:p>
    <w:p w:rsidR="00C01452" w:rsidRPr="00044682" w:rsidRDefault="00C01452" w:rsidP="00D647F3">
      <w:pPr>
        <w:pStyle w:val="ListParagraph"/>
        <w:ind w:left="360"/>
        <w:jc w:val="both"/>
        <w:rPr>
          <w:i/>
          <w:sz w:val="24"/>
          <w:szCs w:val="24"/>
        </w:rPr>
      </w:pPr>
    </w:p>
    <w:p w:rsidR="00C01452" w:rsidRPr="00044682" w:rsidRDefault="00C01452" w:rsidP="00D647F3">
      <w:pPr>
        <w:ind w:left="360"/>
        <w:jc w:val="both"/>
        <w:rPr>
          <w:rFonts w:cs="Arial"/>
          <w:szCs w:val="24"/>
        </w:rPr>
      </w:pPr>
      <w:r w:rsidRPr="00044682">
        <w:rPr>
          <w:rFonts w:cs="Arial"/>
          <w:i/>
          <w:szCs w:val="24"/>
        </w:rPr>
        <w:t>Current Status:</w:t>
      </w:r>
      <w:r w:rsidRPr="00044682">
        <w:rPr>
          <w:rFonts w:cs="Arial"/>
          <w:szCs w:val="24"/>
        </w:rPr>
        <w:t xml:space="preserve"> Complete subject to this activity continuing, it is therefore recommended that recommendation 15 is closed.</w:t>
      </w:r>
    </w:p>
    <w:p w:rsidR="00C01452" w:rsidRPr="00044682" w:rsidRDefault="00C01452" w:rsidP="00D647F3">
      <w:pPr>
        <w:pStyle w:val="ListParagraph"/>
        <w:ind w:left="360"/>
        <w:jc w:val="both"/>
        <w:rPr>
          <w:sz w:val="24"/>
          <w:szCs w:val="24"/>
        </w:rPr>
      </w:pPr>
    </w:p>
    <w:p w:rsidR="00C01452" w:rsidRPr="00044682" w:rsidRDefault="00C01452" w:rsidP="00D647F3">
      <w:pPr>
        <w:pStyle w:val="ListParagraph"/>
        <w:numPr>
          <w:ilvl w:val="1"/>
          <w:numId w:val="4"/>
        </w:numPr>
        <w:jc w:val="both"/>
        <w:rPr>
          <w:sz w:val="24"/>
          <w:szCs w:val="24"/>
        </w:rPr>
      </w:pPr>
      <w:r w:rsidRPr="00044682">
        <w:rPr>
          <w:i/>
          <w:sz w:val="24"/>
          <w:szCs w:val="24"/>
          <w:u w:val="single"/>
        </w:rPr>
        <w:t>Recommendation 16</w:t>
      </w:r>
      <w:r w:rsidRPr="00044682">
        <w:rPr>
          <w:i/>
          <w:sz w:val="24"/>
          <w:szCs w:val="24"/>
        </w:rPr>
        <w:t>:</w:t>
      </w:r>
      <w:r w:rsidRPr="00044682">
        <w:rPr>
          <w:sz w:val="24"/>
          <w:szCs w:val="24"/>
        </w:rPr>
        <w:t xml:space="preserve"> The panel recommends that borrowing is not delayed by pursuing unrealistic borrowing opportunities.</w:t>
      </w:r>
    </w:p>
    <w:p w:rsidR="00C01452" w:rsidRPr="00044682" w:rsidRDefault="00C01452" w:rsidP="00D647F3">
      <w:pPr>
        <w:pStyle w:val="ListParagraph"/>
        <w:ind w:left="360"/>
        <w:jc w:val="both"/>
        <w:rPr>
          <w:i/>
          <w:sz w:val="24"/>
          <w:szCs w:val="24"/>
        </w:rPr>
      </w:pPr>
    </w:p>
    <w:p w:rsidR="00C01452" w:rsidRPr="00044682" w:rsidRDefault="00C01452" w:rsidP="00D647F3">
      <w:pPr>
        <w:ind w:left="360"/>
        <w:jc w:val="both"/>
        <w:rPr>
          <w:rFonts w:cs="Arial"/>
          <w:szCs w:val="24"/>
        </w:rPr>
      </w:pPr>
      <w:r w:rsidRPr="00044682">
        <w:rPr>
          <w:rFonts w:cs="Arial"/>
          <w:i/>
          <w:szCs w:val="24"/>
        </w:rPr>
        <w:t xml:space="preserve">Update on Progress: </w:t>
      </w:r>
      <w:r w:rsidRPr="00044682">
        <w:rPr>
          <w:rFonts w:cs="Arial"/>
          <w:szCs w:val="24"/>
        </w:rPr>
        <w:t>Funding has been arranged for those smaller sites ready to proceed at Haslam House and Waxwell Lane.  For the remainder of the Programme, the HSDP tender will informing the budget and hence borrowing requirement going forward.</w:t>
      </w:r>
    </w:p>
    <w:p w:rsidR="00C01452" w:rsidRPr="00044682" w:rsidRDefault="00C01452" w:rsidP="00D647F3">
      <w:pPr>
        <w:pStyle w:val="ListParagraph"/>
        <w:ind w:left="360"/>
        <w:jc w:val="both"/>
        <w:rPr>
          <w:i/>
          <w:sz w:val="24"/>
          <w:szCs w:val="24"/>
        </w:rPr>
      </w:pPr>
    </w:p>
    <w:p w:rsidR="00C01452" w:rsidRPr="00044682" w:rsidRDefault="00C01452" w:rsidP="00D647F3">
      <w:pPr>
        <w:ind w:left="360"/>
        <w:jc w:val="both"/>
        <w:rPr>
          <w:rFonts w:cs="Arial"/>
          <w:szCs w:val="24"/>
        </w:rPr>
      </w:pPr>
      <w:r w:rsidRPr="00044682">
        <w:rPr>
          <w:rFonts w:cs="Arial"/>
          <w:i/>
          <w:szCs w:val="24"/>
        </w:rPr>
        <w:t>Current Status:</w:t>
      </w:r>
      <w:r w:rsidRPr="00044682">
        <w:rPr>
          <w:rFonts w:cs="Arial"/>
          <w:szCs w:val="24"/>
        </w:rPr>
        <w:t xml:space="preserve"> Complete subject to this activity continuing, it is therefore recommended that recommendation 16 is closed.</w:t>
      </w:r>
    </w:p>
    <w:p w:rsidR="00C01452" w:rsidRPr="00044682" w:rsidRDefault="00C01452" w:rsidP="00D647F3">
      <w:pPr>
        <w:pStyle w:val="ListParagraph"/>
        <w:ind w:left="360"/>
        <w:jc w:val="both"/>
        <w:rPr>
          <w:sz w:val="24"/>
          <w:szCs w:val="24"/>
        </w:rPr>
      </w:pPr>
    </w:p>
    <w:p w:rsidR="00C01452" w:rsidRPr="00044682" w:rsidRDefault="00E807E7" w:rsidP="00D647F3">
      <w:pPr>
        <w:pStyle w:val="ListParagraph"/>
        <w:numPr>
          <w:ilvl w:val="1"/>
          <w:numId w:val="4"/>
        </w:numPr>
        <w:jc w:val="both"/>
        <w:rPr>
          <w:sz w:val="24"/>
          <w:szCs w:val="24"/>
        </w:rPr>
      </w:pPr>
      <w:r w:rsidRPr="00044682">
        <w:rPr>
          <w:i/>
          <w:sz w:val="24"/>
          <w:szCs w:val="24"/>
          <w:u w:val="single"/>
        </w:rPr>
        <w:lastRenderedPageBreak/>
        <w:t>Recommendation 17</w:t>
      </w:r>
      <w:r w:rsidR="00C01452" w:rsidRPr="00044682">
        <w:rPr>
          <w:i/>
          <w:sz w:val="24"/>
          <w:szCs w:val="24"/>
        </w:rPr>
        <w:t xml:space="preserve">: To </w:t>
      </w:r>
      <w:r w:rsidR="00C01452" w:rsidRPr="00044682">
        <w:rPr>
          <w:sz w:val="24"/>
          <w:szCs w:val="24"/>
        </w:rPr>
        <w:t>ensure a proactive transport lobbying strategy is in place in order to ensure issues around reliability, capacity, and frequency are addressed in relation to Harrow and Wealdstone station.</w:t>
      </w:r>
    </w:p>
    <w:p w:rsidR="00C01452" w:rsidRPr="00044682" w:rsidRDefault="00C01452" w:rsidP="00D647F3">
      <w:pPr>
        <w:jc w:val="both"/>
        <w:rPr>
          <w:rFonts w:cs="Arial"/>
          <w:szCs w:val="24"/>
        </w:rPr>
      </w:pPr>
    </w:p>
    <w:p w:rsidR="00C01452" w:rsidRPr="00044682" w:rsidRDefault="00C01452" w:rsidP="00D647F3">
      <w:pPr>
        <w:ind w:left="360"/>
        <w:jc w:val="both"/>
        <w:rPr>
          <w:rFonts w:cs="Arial"/>
          <w:szCs w:val="24"/>
        </w:rPr>
      </w:pPr>
      <w:r w:rsidRPr="00044682">
        <w:rPr>
          <w:rFonts w:cs="Arial"/>
          <w:i/>
          <w:szCs w:val="24"/>
        </w:rPr>
        <w:t>Update on Progress:</w:t>
      </w:r>
      <w:r w:rsidRPr="00044682">
        <w:rPr>
          <w:rFonts w:cs="Arial"/>
          <w:szCs w:val="24"/>
        </w:rPr>
        <w:t xml:space="preserve"> A follow up meeting to the Deputy Mayors meeting was held with Network rail at Harrow &amp; Wealdstone station where a list of improvements were identified and future refurbishment programme was discussed.  Harrow has successfully secured Metropolitan Line upgrade - more trains and new </w:t>
      </w:r>
      <w:r w:rsidR="0051247C" w:rsidRPr="00044682">
        <w:rPr>
          <w:rFonts w:cs="Arial"/>
          <w:szCs w:val="24"/>
        </w:rPr>
        <w:t>signalling</w:t>
      </w:r>
      <w:r w:rsidRPr="00044682">
        <w:rPr>
          <w:rFonts w:cs="Arial"/>
          <w:szCs w:val="24"/>
        </w:rPr>
        <w:t xml:space="preserve">; Bakerloo Line upgrade - new trains and signalling, greater capacity; £3.8m Network Rail improvements to Harrow and Wealdstone Station.   A proactive lobbying strategy is incorporated in the </w:t>
      </w:r>
      <w:r w:rsidRPr="00044682">
        <w:rPr>
          <w:rFonts w:cs="Arial"/>
          <w:i/>
          <w:szCs w:val="24"/>
        </w:rPr>
        <w:t>Public Transport Lobbying Strategy</w:t>
      </w:r>
      <w:r w:rsidRPr="00044682">
        <w:rPr>
          <w:rFonts w:cs="Arial"/>
          <w:szCs w:val="24"/>
        </w:rPr>
        <w:t xml:space="preserve"> (please see response to recommendation 3).</w:t>
      </w:r>
    </w:p>
    <w:p w:rsidR="00C01452" w:rsidRPr="00044682" w:rsidRDefault="00C01452" w:rsidP="00D647F3">
      <w:pPr>
        <w:ind w:left="360"/>
        <w:jc w:val="both"/>
        <w:rPr>
          <w:rFonts w:cs="Arial"/>
          <w:szCs w:val="24"/>
        </w:rPr>
      </w:pPr>
    </w:p>
    <w:p w:rsidR="00C01452" w:rsidRPr="00C01452" w:rsidRDefault="00C01452" w:rsidP="00D647F3">
      <w:pPr>
        <w:ind w:left="360"/>
        <w:jc w:val="both"/>
        <w:rPr>
          <w:sz w:val="22"/>
          <w:szCs w:val="22"/>
        </w:rPr>
      </w:pPr>
      <w:r w:rsidRPr="00044682">
        <w:rPr>
          <w:rFonts w:cs="Arial"/>
          <w:i/>
          <w:szCs w:val="24"/>
        </w:rPr>
        <w:t>Current Status:</w:t>
      </w:r>
      <w:r w:rsidRPr="00044682">
        <w:rPr>
          <w:rFonts w:cs="Arial"/>
          <w:szCs w:val="24"/>
        </w:rPr>
        <w:t xml:space="preserve"> Complete, See also response to recommendation 3. In light of that response it is therefore recommended that recommendation 17 is closed</w:t>
      </w:r>
      <w:r w:rsidRPr="00C01452">
        <w:rPr>
          <w:rFonts w:cs="Arial"/>
          <w:sz w:val="22"/>
          <w:szCs w:val="22"/>
        </w:rPr>
        <w:t>.</w:t>
      </w:r>
    </w:p>
    <w:p w:rsidR="00125C25" w:rsidRDefault="00125C25" w:rsidP="00D647F3">
      <w:pPr>
        <w:jc w:val="both"/>
      </w:pPr>
    </w:p>
    <w:p w:rsidR="00AF334B" w:rsidRDefault="00AF334B" w:rsidP="00D647F3">
      <w:pPr>
        <w:jc w:val="both"/>
      </w:pPr>
    </w:p>
    <w:p w:rsidR="00125C25" w:rsidRPr="00125C25" w:rsidRDefault="00125C25" w:rsidP="00D647F3">
      <w:pPr>
        <w:pStyle w:val="ListParagraph"/>
        <w:numPr>
          <w:ilvl w:val="0"/>
          <w:numId w:val="8"/>
        </w:numPr>
        <w:jc w:val="both"/>
        <w:rPr>
          <w:b/>
          <w:sz w:val="28"/>
          <w:szCs w:val="28"/>
        </w:rPr>
      </w:pPr>
      <w:r w:rsidRPr="00125C25">
        <w:rPr>
          <w:b/>
          <w:sz w:val="28"/>
          <w:szCs w:val="28"/>
        </w:rPr>
        <w:t>Implications of the Recommendations</w:t>
      </w:r>
    </w:p>
    <w:p w:rsidR="001337A3" w:rsidRDefault="001337A3" w:rsidP="00D647F3">
      <w:pPr>
        <w:jc w:val="both"/>
      </w:pPr>
    </w:p>
    <w:p w:rsidR="00125C25" w:rsidRPr="00044682" w:rsidRDefault="00125C25" w:rsidP="006914A4">
      <w:pPr>
        <w:pStyle w:val="Heading2"/>
        <w:numPr>
          <w:ilvl w:val="1"/>
          <w:numId w:val="8"/>
        </w:numPr>
        <w:jc w:val="both"/>
        <w:rPr>
          <w:rFonts w:cs="Times New Roman"/>
          <w:b w:val="0"/>
          <w:bCs w:val="0"/>
          <w:sz w:val="24"/>
          <w:szCs w:val="24"/>
        </w:rPr>
      </w:pPr>
      <w:r w:rsidRPr="00044682">
        <w:rPr>
          <w:rFonts w:cs="Times New Roman"/>
          <w:b w:val="0"/>
          <w:bCs w:val="0"/>
          <w:sz w:val="24"/>
          <w:szCs w:val="24"/>
        </w:rPr>
        <w:t xml:space="preserve">This report provides an update on progress on the delivery of the recommendations arising from the Overview and Scrutiny report issued in February 2018, </w:t>
      </w:r>
      <w:r w:rsidRPr="00044682">
        <w:rPr>
          <w:rFonts w:cs="Times New Roman"/>
          <w:b w:val="0"/>
          <w:bCs w:val="0"/>
          <w:i/>
          <w:sz w:val="24"/>
          <w:szCs w:val="24"/>
        </w:rPr>
        <w:t>Financing of the Regeneration Programme in Harrow by the Regeneration Scrutiny Review Panel</w:t>
      </w:r>
      <w:r w:rsidRPr="00044682">
        <w:rPr>
          <w:rFonts w:cs="Times New Roman"/>
          <w:b w:val="0"/>
          <w:bCs w:val="0"/>
          <w:sz w:val="24"/>
          <w:szCs w:val="24"/>
        </w:rPr>
        <w:t xml:space="preserve">.   </w:t>
      </w:r>
    </w:p>
    <w:p w:rsidR="00125C25" w:rsidRPr="00044682" w:rsidRDefault="00125C25" w:rsidP="006914A4">
      <w:pPr>
        <w:rPr>
          <w:szCs w:val="24"/>
        </w:rPr>
      </w:pPr>
    </w:p>
    <w:p w:rsidR="00125C25" w:rsidRPr="00044682" w:rsidRDefault="00125C25" w:rsidP="006914A4">
      <w:pPr>
        <w:pStyle w:val="Heading2"/>
        <w:numPr>
          <w:ilvl w:val="1"/>
          <w:numId w:val="8"/>
        </w:numPr>
        <w:jc w:val="both"/>
        <w:rPr>
          <w:b w:val="0"/>
          <w:sz w:val="24"/>
          <w:szCs w:val="24"/>
        </w:rPr>
      </w:pPr>
      <w:r w:rsidRPr="00044682">
        <w:rPr>
          <w:rFonts w:cs="Times New Roman"/>
          <w:b w:val="0"/>
          <w:bCs w:val="0"/>
          <w:sz w:val="24"/>
          <w:szCs w:val="24"/>
        </w:rPr>
        <w:t xml:space="preserve">Following the detailed update on the Overview and Scrutiny recommendations outlined in Section 3.  </w:t>
      </w:r>
      <w:r w:rsidRPr="00044682">
        <w:rPr>
          <w:b w:val="0"/>
          <w:sz w:val="24"/>
          <w:szCs w:val="24"/>
        </w:rPr>
        <w:t xml:space="preserve">It is recommended that the following recommendations are considered </w:t>
      </w:r>
      <w:r w:rsidR="00CD12CD" w:rsidRPr="00044682">
        <w:rPr>
          <w:b w:val="0"/>
          <w:sz w:val="24"/>
          <w:szCs w:val="24"/>
        </w:rPr>
        <w:t>closed</w:t>
      </w:r>
      <w:r w:rsidRPr="00044682">
        <w:rPr>
          <w:b w:val="0"/>
          <w:sz w:val="24"/>
          <w:szCs w:val="24"/>
        </w:rPr>
        <w:t xml:space="preserve"> these are</w:t>
      </w:r>
      <w:r w:rsidR="00CD12CD" w:rsidRPr="00044682">
        <w:rPr>
          <w:b w:val="0"/>
          <w:sz w:val="24"/>
          <w:szCs w:val="24"/>
        </w:rPr>
        <w:t>: 1, 5, 6, 7, 8, 9, 10, 12, 13, 14, 15, 16</w:t>
      </w:r>
      <w:r w:rsidRPr="00044682">
        <w:rPr>
          <w:b w:val="0"/>
          <w:sz w:val="24"/>
          <w:szCs w:val="24"/>
        </w:rPr>
        <w:t xml:space="preserve"> and </w:t>
      </w:r>
      <w:r w:rsidR="00CD12CD" w:rsidRPr="00044682">
        <w:rPr>
          <w:b w:val="0"/>
          <w:sz w:val="24"/>
          <w:szCs w:val="24"/>
        </w:rPr>
        <w:t>17.</w:t>
      </w:r>
      <w:r w:rsidRPr="00044682">
        <w:rPr>
          <w:b w:val="0"/>
          <w:sz w:val="24"/>
          <w:szCs w:val="24"/>
        </w:rPr>
        <w:t xml:space="preserve">   </w:t>
      </w:r>
    </w:p>
    <w:p w:rsidR="00125C25" w:rsidRPr="00044682" w:rsidRDefault="00125C25" w:rsidP="006914A4">
      <w:pPr>
        <w:rPr>
          <w:szCs w:val="24"/>
        </w:rPr>
      </w:pPr>
    </w:p>
    <w:p w:rsidR="00125C25" w:rsidRPr="00044682" w:rsidRDefault="00673FAB" w:rsidP="006914A4">
      <w:pPr>
        <w:pStyle w:val="Heading2"/>
        <w:numPr>
          <w:ilvl w:val="1"/>
          <w:numId w:val="8"/>
        </w:numPr>
        <w:jc w:val="both"/>
        <w:rPr>
          <w:b w:val="0"/>
          <w:sz w:val="24"/>
          <w:szCs w:val="24"/>
        </w:rPr>
      </w:pPr>
      <w:r w:rsidRPr="00044682">
        <w:rPr>
          <w:b w:val="0"/>
          <w:sz w:val="24"/>
          <w:szCs w:val="24"/>
        </w:rPr>
        <w:t>To agree</w:t>
      </w:r>
      <w:r w:rsidR="0051247C" w:rsidRPr="00044682">
        <w:rPr>
          <w:b w:val="0"/>
          <w:sz w:val="24"/>
          <w:szCs w:val="24"/>
        </w:rPr>
        <w:t xml:space="preserve"> that </w:t>
      </w:r>
      <w:r w:rsidR="00125C25" w:rsidRPr="00044682">
        <w:rPr>
          <w:b w:val="0"/>
          <w:sz w:val="24"/>
          <w:szCs w:val="24"/>
        </w:rPr>
        <w:t xml:space="preserve">recommendations 2, 3, 4, and 11 </w:t>
      </w:r>
      <w:r w:rsidR="008C6C65" w:rsidRPr="00044682">
        <w:rPr>
          <w:b w:val="0"/>
          <w:sz w:val="24"/>
          <w:szCs w:val="24"/>
        </w:rPr>
        <w:t>should</w:t>
      </w:r>
      <w:r w:rsidRPr="00044682">
        <w:rPr>
          <w:b w:val="0"/>
          <w:sz w:val="24"/>
          <w:szCs w:val="24"/>
        </w:rPr>
        <w:t xml:space="preserve"> remain open and agreed </w:t>
      </w:r>
      <w:r w:rsidR="0051247C" w:rsidRPr="00044682">
        <w:rPr>
          <w:b w:val="0"/>
          <w:sz w:val="24"/>
          <w:szCs w:val="24"/>
        </w:rPr>
        <w:t xml:space="preserve">that a </w:t>
      </w:r>
      <w:r w:rsidR="008C6C65" w:rsidRPr="00044682">
        <w:rPr>
          <w:b w:val="0"/>
          <w:sz w:val="24"/>
          <w:szCs w:val="24"/>
        </w:rPr>
        <w:t>further update on progress at a future meeting.  The specific areas they relate to are as follows</w:t>
      </w:r>
      <w:r w:rsidR="00125C25" w:rsidRPr="00044682">
        <w:rPr>
          <w:b w:val="0"/>
          <w:sz w:val="24"/>
          <w:szCs w:val="24"/>
        </w:rPr>
        <w:t>:</w:t>
      </w:r>
    </w:p>
    <w:p w:rsidR="00125C25" w:rsidRPr="00044682" w:rsidRDefault="00125C25" w:rsidP="00D647F3">
      <w:pPr>
        <w:pStyle w:val="Heading2"/>
        <w:ind w:left="360"/>
        <w:jc w:val="both"/>
        <w:rPr>
          <w:b w:val="0"/>
          <w:sz w:val="24"/>
          <w:szCs w:val="24"/>
        </w:rPr>
      </w:pPr>
    </w:p>
    <w:p w:rsidR="00125C25" w:rsidRPr="00044682" w:rsidRDefault="00125C25" w:rsidP="00D647F3">
      <w:pPr>
        <w:pStyle w:val="Heading2"/>
        <w:numPr>
          <w:ilvl w:val="0"/>
          <w:numId w:val="12"/>
        </w:numPr>
        <w:jc w:val="both"/>
        <w:rPr>
          <w:b w:val="0"/>
          <w:sz w:val="24"/>
          <w:szCs w:val="24"/>
        </w:rPr>
      </w:pPr>
      <w:r w:rsidRPr="00044682">
        <w:rPr>
          <w:b w:val="0"/>
          <w:sz w:val="24"/>
          <w:szCs w:val="24"/>
        </w:rPr>
        <w:t xml:space="preserve">Infrastructure Plan, </w:t>
      </w:r>
    </w:p>
    <w:p w:rsidR="00125C25" w:rsidRPr="00044682" w:rsidRDefault="00125C25" w:rsidP="00D647F3">
      <w:pPr>
        <w:pStyle w:val="Heading2"/>
        <w:numPr>
          <w:ilvl w:val="0"/>
          <w:numId w:val="12"/>
        </w:numPr>
        <w:jc w:val="both"/>
        <w:rPr>
          <w:b w:val="0"/>
          <w:sz w:val="24"/>
          <w:szCs w:val="24"/>
        </w:rPr>
      </w:pPr>
      <w:r w:rsidRPr="00044682">
        <w:rPr>
          <w:b w:val="0"/>
          <w:sz w:val="24"/>
          <w:szCs w:val="24"/>
        </w:rPr>
        <w:t>Lobbying Strategy</w:t>
      </w:r>
    </w:p>
    <w:p w:rsidR="00125C25" w:rsidRPr="00044682" w:rsidRDefault="00125C25" w:rsidP="00D647F3">
      <w:pPr>
        <w:pStyle w:val="Heading2"/>
        <w:numPr>
          <w:ilvl w:val="0"/>
          <w:numId w:val="12"/>
        </w:numPr>
        <w:jc w:val="both"/>
        <w:rPr>
          <w:b w:val="0"/>
          <w:sz w:val="24"/>
          <w:szCs w:val="24"/>
        </w:rPr>
      </w:pPr>
      <w:r w:rsidRPr="00044682">
        <w:rPr>
          <w:b w:val="0"/>
          <w:sz w:val="24"/>
          <w:szCs w:val="24"/>
        </w:rPr>
        <w:t xml:space="preserve">Cross-party working arrangements </w:t>
      </w:r>
    </w:p>
    <w:p w:rsidR="00AF334B" w:rsidRDefault="00AF334B" w:rsidP="00D647F3"/>
    <w:p w:rsidR="00044682" w:rsidRPr="001A770A" w:rsidRDefault="00044682" w:rsidP="00D647F3"/>
    <w:p w:rsidR="00E35D14" w:rsidRDefault="00E35D14" w:rsidP="00D647F3">
      <w:pPr>
        <w:pStyle w:val="Heading2"/>
        <w:numPr>
          <w:ilvl w:val="0"/>
          <w:numId w:val="8"/>
        </w:numPr>
        <w:jc w:val="both"/>
      </w:pPr>
      <w:r>
        <w:t>Financial Implications</w:t>
      </w:r>
    </w:p>
    <w:p w:rsidR="00E35D14" w:rsidRPr="0044511F" w:rsidRDefault="00E35D14" w:rsidP="00D647F3">
      <w:pPr>
        <w:jc w:val="both"/>
      </w:pPr>
    </w:p>
    <w:p w:rsidR="00930C42" w:rsidRPr="00044682" w:rsidRDefault="00E35D14" w:rsidP="00D647F3">
      <w:pPr>
        <w:pStyle w:val="ListParagraph"/>
        <w:numPr>
          <w:ilvl w:val="1"/>
          <w:numId w:val="8"/>
        </w:numPr>
        <w:jc w:val="both"/>
        <w:rPr>
          <w:sz w:val="24"/>
          <w:szCs w:val="24"/>
        </w:rPr>
      </w:pPr>
      <w:r w:rsidRPr="00044682">
        <w:rPr>
          <w:sz w:val="24"/>
          <w:szCs w:val="24"/>
        </w:rPr>
        <w:t>The recommendations and responses contained in this report do not have any financial implications at this time.</w:t>
      </w:r>
    </w:p>
    <w:p w:rsidR="00AF334B" w:rsidRDefault="00AF334B" w:rsidP="00D647F3">
      <w:pPr>
        <w:jc w:val="both"/>
      </w:pPr>
    </w:p>
    <w:p w:rsidR="00044682" w:rsidRDefault="00044682" w:rsidP="00D647F3">
      <w:pPr>
        <w:jc w:val="both"/>
      </w:pPr>
    </w:p>
    <w:p w:rsidR="00E35D14" w:rsidRDefault="00E35D14" w:rsidP="00D647F3">
      <w:pPr>
        <w:pStyle w:val="Heading2"/>
        <w:keepNext/>
        <w:numPr>
          <w:ilvl w:val="0"/>
          <w:numId w:val="8"/>
        </w:numPr>
        <w:jc w:val="both"/>
      </w:pPr>
      <w:r w:rsidRPr="00E446E9">
        <w:t>Environmental Impact</w:t>
      </w:r>
    </w:p>
    <w:p w:rsidR="00E35D14" w:rsidRDefault="00E35D14" w:rsidP="00D647F3">
      <w:pPr>
        <w:keepNext/>
        <w:jc w:val="both"/>
        <w:rPr>
          <w:b/>
        </w:rPr>
      </w:pPr>
    </w:p>
    <w:p w:rsidR="008C6C65" w:rsidRPr="00044682" w:rsidRDefault="00E35D14" w:rsidP="00D647F3">
      <w:pPr>
        <w:pStyle w:val="ListParagraph"/>
        <w:numPr>
          <w:ilvl w:val="1"/>
          <w:numId w:val="8"/>
        </w:numPr>
        <w:jc w:val="both"/>
        <w:rPr>
          <w:sz w:val="24"/>
          <w:szCs w:val="24"/>
        </w:rPr>
      </w:pPr>
      <w:r w:rsidRPr="00044682">
        <w:rPr>
          <w:sz w:val="24"/>
          <w:szCs w:val="24"/>
        </w:rPr>
        <w:t xml:space="preserve">Environmental issues for the Regeneration Programme as a whole are considered as part of the Building </w:t>
      </w:r>
      <w:r w:rsidR="00B3161D" w:rsidRPr="00044682">
        <w:rPr>
          <w:sz w:val="24"/>
          <w:szCs w:val="24"/>
        </w:rPr>
        <w:t>a</w:t>
      </w:r>
      <w:r w:rsidRPr="00044682">
        <w:rPr>
          <w:sz w:val="24"/>
          <w:szCs w:val="24"/>
        </w:rPr>
        <w:t xml:space="preserve"> Better Harrow quarterly update </w:t>
      </w:r>
      <w:r w:rsidR="00B3161D" w:rsidRPr="00044682">
        <w:rPr>
          <w:sz w:val="24"/>
          <w:szCs w:val="24"/>
        </w:rPr>
        <w:t>to Cabinet</w:t>
      </w:r>
      <w:r w:rsidRPr="00044682">
        <w:rPr>
          <w:sz w:val="24"/>
          <w:szCs w:val="24"/>
        </w:rPr>
        <w:t>.</w:t>
      </w:r>
    </w:p>
    <w:p w:rsidR="008C6C65" w:rsidRPr="00044682" w:rsidRDefault="008C6C65" w:rsidP="00D647F3">
      <w:pPr>
        <w:pStyle w:val="ListParagraph"/>
        <w:ind w:left="360"/>
        <w:jc w:val="both"/>
        <w:rPr>
          <w:sz w:val="24"/>
          <w:szCs w:val="24"/>
        </w:rPr>
      </w:pPr>
    </w:p>
    <w:p w:rsidR="00E35D14" w:rsidRPr="00044682" w:rsidRDefault="00E35D14" w:rsidP="00D647F3">
      <w:pPr>
        <w:pStyle w:val="ListParagraph"/>
        <w:numPr>
          <w:ilvl w:val="1"/>
          <w:numId w:val="8"/>
        </w:numPr>
        <w:jc w:val="both"/>
        <w:rPr>
          <w:sz w:val="24"/>
          <w:szCs w:val="24"/>
        </w:rPr>
      </w:pPr>
      <w:r w:rsidRPr="00044682">
        <w:rPr>
          <w:sz w:val="24"/>
          <w:szCs w:val="24"/>
        </w:rPr>
        <w:lastRenderedPageBreak/>
        <w:t xml:space="preserve">A number of responses to recommendations will have specific environmental impact – in particular outputs from the </w:t>
      </w:r>
      <w:r w:rsidRPr="00044682">
        <w:rPr>
          <w:i/>
          <w:sz w:val="24"/>
          <w:szCs w:val="24"/>
        </w:rPr>
        <w:t>Building a Better Harrow Infrastructure Plan</w:t>
      </w:r>
      <w:r w:rsidRPr="00044682">
        <w:rPr>
          <w:sz w:val="24"/>
          <w:szCs w:val="24"/>
        </w:rPr>
        <w:t>. The implications of these will be discussed in detail in the plan itself.</w:t>
      </w:r>
    </w:p>
    <w:p w:rsidR="00E35D14" w:rsidRPr="00044682" w:rsidRDefault="00E35D14" w:rsidP="00D647F3">
      <w:pPr>
        <w:jc w:val="both"/>
        <w:rPr>
          <w:szCs w:val="24"/>
        </w:rPr>
      </w:pPr>
    </w:p>
    <w:p w:rsidR="00E35D14" w:rsidRPr="00044682" w:rsidRDefault="00E35D14" w:rsidP="00D647F3">
      <w:pPr>
        <w:ind w:left="360"/>
        <w:jc w:val="both"/>
        <w:rPr>
          <w:szCs w:val="24"/>
        </w:rPr>
      </w:pPr>
      <w:r w:rsidRPr="00044682">
        <w:rPr>
          <w:szCs w:val="24"/>
        </w:rPr>
        <w:t>The Infrastructure plan will address issues relating to:</w:t>
      </w:r>
    </w:p>
    <w:p w:rsidR="00E35D14" w:rsidRPr="00044682" w:rsidRDefault="00E35D14" w:rsidP="00D647F3">
      <w:pPr>
        <w:pStyle w:val="ListParagraph"/>
        <w:numPr>
          <w:ilvl w:val="0"/>
          <w:numId w:val="15"/>
        </w:numPr>
        <w:jc w:val="both"/>
        <w:rPr>
          <w:sz w:val="24"/>
          <w:szCs w:val="24"/>
        </w:rPr>
      </w:pPr>
      <w:r w:rsidRPr="00044682">
        <w:rPr>
          <w:sz w:val="24"/>
          <w:szCs w:val="24"/>
        </w:rPr>
        <w:t>Energy</w:t>
      </w:r>
    </w:p>
    <w:p w:rsidR="00E35D14" w:rsidRPr="00044682" w:rsidRDefault="00E35D14" w:rsidP="00D647F3">
      <w:pPr>
        <w:pStyle w:val="ListParagraph"/>
        <w:numPr>
          <w:ilvl w:val="0"/>
          <w:numId w:val="15"/>
        </w:numPr>
        <w:jc w:val="both"/>
        <w:rPr>
          <w:sz w:val="24"/>
          <w:szCs w:val="24"/>
        </w:rPr>
      </w:pPr>
      <w:r w:rsidRPr="00044682">
        <w:rPr>
          <w:sz w:val="24"/>
          <w:szCs w:val="24"/>
        </w:rPr>
        <w:t>Water and flooding</w:t>
      </w:r>
    </w:p>
    <w:p w:rsidR="00E35D14" w:rsidRPr="00044682" w:rsidRDefault="00E35D14" w:rsidP="00D647F3">
      <w:pPr>
        <w:pStyle w:val="ListParagraph"/>
        <w:numPr>
          <w:ilvl w:val="0"/>
          <w:numId w:val="15"/>
        </w:numPr>
        <w:jc w:val="both"/>
        <w:rPr>
          <w:sz w:val="24"/>
          <w:szCs w:val="24"/>
        </w:rPr>
      </w:pPr>
      <w:r w:rsidRPr="00044682">
        <w:rPr>
          <w:sz w:val="24"/>
          <w:szCs w:val="24"/>
        </w:rPr>
        <w:t>Traffic and transport</w:t>
      </w:r>
    </w:p>
    <w:p w:rsidR="00E35D14" w:rsidRPr="00044682" w:rsidRDefault="00E35D14" w:rsidP="00D647F3">
      <w:pPr>
        <w:pStyle w:val="ListParagraph"/>
        <w:numPr>
          <w:ilvl w:val="0"/>
          <w:numId w:val="15"/>
        </w:numPr>
        <w:jc w:val="both"/>
        <w:rPr>
          <w:sz w:val="24"/>
          <w:szCs w:val="24"/>
        </w:rPr>
      </w:pPr>
      <w:r w:rsidRPr="00044682">
        <w:rPr>
          <w:sz w:val="24"/>
          <w:szCs w:val="24"/>
        </w:rPr>
        <w:t>Air quality and pollution</w:t>
      </w:r>
    </w:p>
    <w:p w:rsidR="00E35D14" w:rsidRPr="00044682" w:rsidRDefault="00E35D14" w:rsidP="00D647F3">
      <w:pPr>
        <w:pStyle w:val="ListParagraph"/>
        <w:numPr>
          <w:ilvl w:val="0"/>
          <w:numId w:val="15"/>
        </w:numPr>
        <w:jc w:val="both"/>
        <w:rPr>
          <w:sz w:val="24"/>
          <w:szCs w:val="24"/>
        </w:rPr>
      </w:pPr>
      <w:r w:rsidRPr="00044682">
        <w:rPr>
          <w:sz w:val="24"/>
          <w:szCs w:val="24"/>
        </w:rPr>
        <w:t>Waste</w:t>
      </w:r>
    </w:p>
    <w:p w:rsidR="00E35D14" w:rsidRPr="00044682" w:rsidRDefault="00E35D14" w:rsidP="00D647F3">
      <w:pPr>
        <w:pStyle w:val="ListParagraph"/>
        <w:numPr>
          <w:ilvl w:val="0"/>
          <w:numId w:val="15"/>
        </w:numPr>
        <w:jc w:val="both"/>
        <w:rPr>
          <w:sz w:val="24"/>
          <w:szCs w:val="24"/>
        </w:rPr>
      </w:pPr>
      <w:r w:rsidRPr="00044682">
        <w:rPr>
          <w:sz w:val="24"/>
          <w:szCs w:val="24"/>
        </w:rPr>
        <w:t>Biodiversity, flora and fauna.</w:t>
      </w:r>
    </w:p>
    <w:p w:rsidR="00E35D14" w:rsidRDefault="00E35D14" w:rsidP="00D647F3">
      <w:pPr>
        <w:jc w:val="both"/>
      </w:pPr>
    </w:p>
    <w:p w:rsidR="00AF334B" w:rsidRDefault="00AF334B" w:rsidP="00D647F3">
      <w:pPr>
        <w:jc w:val="both"/>
      </w:pPr>
    </w:p>
    <w:p w:rsidR="00E35D14" w:rsidRDefault="00E35D14" w:rsidP="00D647F3">
      <w:pPr>
        <w:pStyle w:val="Heading2"/>
        <w:keepNext/>
        <w:numPr>
          <w:ilvl w:val="0"/>
          <w:numId w:val="8"/>
        </w:numPr>
        <w:jc w:val="both"/>
      </w:pPr>
      <w:r>
        <w:t>Risk Management Implications</w:t>
      </w:r>
    </w:p>
    <w:p w:rsidR="00E35D14" w:rsidRDefault="00E35D14" w:rsidP="00D647F3">
      <w:pPr>
        <w:tabs>
          <w:tab w:val="left" w:pos="5610"/>
        </w:tabs>
        <w:ind w:right="81"/>
        <w:jc w:val="both"/>
        <w:rPr>
          <w:rFonts w:cs="Arial"/>
          <w:szCs w:val="24"/>
          <w:lang w:val="en-US"/>
        </w:rPr>
      </w:pPr>
    </w:p>
    <w:p w:rsidR="008C6C65" w:rsidRPr="00044682" w:rsidRDefault="00E35D14" w:rsidP="00D647F3">
      <w:pPr>
        <w:pStyle w:val="ListParagraph"/>
        <w:numPr>
          <w:ilvl w:val="1"/>
          <w:numId w:val="8"/>
        </w:numPr>
        <w:tabs>
          <w:tab w:val="left" w:pos="5610"/>
        </w:tabs>
        <w:ind w:right="81"/>
        <w:jc w:val="both"/>
        <w:rPr>
          <w:sz w:val="24"/>
          <w:szCs w:val="24"/>
          <w:lang w:val="en-US"/>
        </w:rPr>
      </w:pPr>
      <w:r w:rsidRPr="00044682">
        <w:rPr>
          <w:sz w:val="24"/>
          <w:szCs w:val="24"/>
          <w:lang w:val="en-US"/>
        </w:rPr>
        <w:t>Risk included on Directorate risk register?  Yes</w:t>
      </w:r>
    </w:p>
    <w:p w:rsidR="008C6C65" w:rsidRPr="00044682" w:rsidRDefault="008C6C65" w:rsidP="00D647F3">
      <w:pPr>
        <w:pStyle w:val="ListParagraph"/>
        <w:tabs>
          <w:tab w:val="left" w:pos="5610"/>
        </w:tabs>
        <w:ind w:left="360" w:right="81"/>
        <w:jc w:val="both"/>
        <w:rPr>
          <w:sz w:val="24"/>
          <w:szCs w:val="24"/>
          <w:lang w:val="en-US"/>
        </w:rPr>
      </w:pPr>
    </w:p>
    <w:p w:rsidR="008C6C65" w:rsidRPr="00044682" w:rsidRDefault="00E35D14" w:rsidP="00D647F3">
      <w:pPr>
        <w:pStyle w:val="ListParagraph"/>
        <w:numPr>
          <w:ilvl w:val="1"/>
          <w:numId w:val="8"/>
        </w:numPr>
        <w:tabs>
          <w:tab w:val="left" w:pos="5610"/>
        </w:tabs>
        <w:ind w:right="141"/>
        <w:jc w:val="both"/>
        <w:rPr>
          <w:sz w:val="24"/>
          <w:szCs w:val="24"/>
          <w:lang w:val="en-US"/>
        </w:rPr>
      </w:pPr>
      <w:r w:rsidRPr="00044682">
        <w:rPr>
          <w:sz w:val="24"/>
          <w:szCs w:val="24"/>
          <w:lang w:val="en-US"/>
        </w:rPr>
        <w:t>Separate risk register in place?  No</w:t>
      </w:r>
    </w:p>
    <w:p w:rsidR="008C6C65" w:rsidRPr="00044682" w:rsidRDefault="008C6C65" w:rsidP="00D647F3">
      <w:pPr>
        <w:pStyle w:val="ListParagraph"/>
        <w:jc w:val="both"/>
        <w:rPr>
          <w:sz w:val="24"/>
          <w:szCs w:val="24"/>
          <w:lang w:val="en-US"/>
        </w:rPr>
      </w:pPr>
    </w:p>
    <w:p w:rsidR="00E35D14" w:rsidRPr="00044682" w:rsidRDefault="008C6C65" w:rsidP="00755F86">
      <w:pPr>
        <w:pStyle w:val="ListParagraph"/>
        <w:numPr>
          <w:ilvl w:val="1"/>
          <w:numId w:val="8"/>
        </w:numPr>
        <w:tabs>
          <w:tab w:val="left" w:pos="5610"/>
        </w:tabs>
        <w:ind w:right="141"/>
        <w:jc w:val="both"/>
        <w:rPr>
          <w:sz w:val="24"/>
          <w:szCs w:val="24"/>
          <w:lang w:val="en-US"/>
        </w:rPr>
      </w:pPr>
      <w:r w:rsidRPr="00044682">
        <w:rPr>
          <w:sz w:val="24"/>
          <w:szCs w:val="24"/>
          <w:lang w:val="en-US"/>
        </w:rPr>
        <w:t>T</w:t>
      </w:r>
      <w:r w:rsidR="00E35D14" w:rsidRPr="00044682">
        <w:rPr>
          <w:sz w:val="24"/>
          <w:szCs w:val="24"/>
          <w:lang w:val="en-US"/>
        </w:rPr>
        <w:t xml:space="preserve">here is a risk register for the Regeneration Programme. The top three risks for each work stream are included in the Regeneration Programme Dashboard which </w:t>
      </w:r>
      <w:r w:rsidR="0051247C" w:rsidRPr="00044682">
        <w:rPr>
          <w:sz w:val="24"/>
          <w:szCs w:val="24"/>
          <w:lang w:val="en-US"/>
        </w:rPr>
        <w:t>is reviewed</w:t>
      </w:r>
      <w:r w:rsidR="00E35D14" w:rsidRPr="00044682">
        <w:rPr>
          <w:sz w:val="24"/>
          <w:szCs w:val="24"/>
          <w:lang w:val="en-US"/>
        </w:rPr>
        <w:t xml:space="preserve"> each month at the Councils Build a Better Harrow Board.</w:t>
      </w:r>
    </w:p>
    <w:p w:rsidR="00E35D14" w:rsidRDefault="00E35D14" w:rsidP="00D647F3">
      <w:pPr>
        <w:pStyle w:val="Heading1"/>
        <w:keepNext/>
        <w:rPr>
          <w:rFonts w:ascii="Times New Roman" w:hAnsi="Times New Roman" w:cs="Times New Roman"/>
          <w:bCs w:val="0"/>
          <w:sz w:val="24"/>
          <w:szCs w:val="24"/>
          <w:lang w:val="en-US"/>
        </w:rPr>
      </w:pPr>
    </w:p>
    <w:p w:rsidR="00AF334B" w:rsidRPr="00AF334B" w:rsidRDefault="00AF334B" w:rsidP="00D647F3">
      <w:pPr>
        <w:rPr>
          <w:lang w:val="en-US"/>
        </w:rPr>
      </w:pPr>
    </w:p>
    <w:p w:rsidR="00E35D14" w:rsidRPr="008C6C65" w:rsidRDefault="00E35D14" w:rsidP="00D647F3">
      <w:pPr>
        <w:pStyle w:val="ListParagraph"/>
        <w:keepNext/>
        <w:numPr>
          <w:ilvl w:val="0"/>
          <w:numId w:val="8"/>
        </w:numPr>
        <w:jc w:val="both"/>
        <w:outlineLvl w:val="1"/>
        <w:rPr>
          <w:b/>
          <w:bCs/>
          <w:sz w:val="28"/>
          <w:szCs w:val="32"/>
        </w:rPr>
      </w:pPr>
      <w:r w:rsidRPr="008C6C65">
        <w:rPr>
          <w:b/>
          <w:bCs/>
          <w:sz w:val="28"/>
          <w:szCs w:val="32"/>
        </w:rPr>
        <w:t xml:space="preserve">Equalities implications / Public Sector Equality Duty  </w:t>
      </w:r>
    </w:p>
    <w:p w:rsidR="00E35D14" w:rsidRPr="00E35D14" w:rsidRDefault="00E35D14" w:rsidP="00D647F3">
      <w:pPr>
        <w:keepNext/>
        <w:jc w:val="both"/>
      </w:pPr>
    </w:p>
    <w:p w:rsidR="008C6C65" w:rsidRPr="00044682" w:rsidRDefault="00E35D14" w:rsidP="00755F86">
      <w:pPr>
        <w:pStyle w:val="ListParagraph"/>
        <w:numPr>
          <w:ilvl w:val="1"/>
          <w:numId w:val="8"/>
        </w:numPr>
        <w:ind w:right="141"/>
        <w:jc w:val="both"/>
        <w:rPr>
          <w:sz w:val="24"/>
          <w:szCs w:val="24"/>
          <w:lang w:val="en-US"/>
        </w:rPr>
      </w:pPr>
      <w:r w:rsidRPr="00044682">
        <w:rPr>
          <w:sz w:val="24"/>
          <w:szCs w:val="24"/>
        </w:rPr>
        <w:t>Was an Equality Impact Assessment carried out?  No</w:t>
      </w:r>
    </w:p>
    <w:p w:rsidR="00755F86" w:rsidRPr="00044682" w:rsidRDefault="00755F86" w:rsidP="00755F86">
      <w:pPr>
        <w:ind w:right="141"/>
        <w:jc w:val="both"/>
        <w:rPr>
          <w:szCs w:val="24"/>
          <w:lang w:val="en-US"/>
        </w:rPr>
      </w:pPr>
    </w:p>
    <w:p w:rsidR="008C6C65" w:rsidRPr="00044682" w:rsidRDefault="00E35D14" w:rsidP="00755F86">
      <w:pPr>
        <w:pStyle w:val="ListParagraph"/>
        <w:numPr>
          <w:ilvl w:val="1"/>
          <w:numId w:val="8"/>
        </w:numPr>
        <w:ind w:right="141"/>
        <w:jc w:val="both"/>
        <w:rPr>
          <w:sz w:val="24"/>
          <w:szCs w:val="24"/>
          <w:lang w:val="en-US"/>
        </w:rPr>
      </w:pPr>
      <w:r w:rsidRPr="00044682">
        <w:rPr>
          <w:sz w:val="24"/>
          <w:szCs w:val="24"/>
          <w:lang w:val="en-US"/>
        </w:rPr>
        <w:t>It is considered that there are no specific implications arising from the recommendations in this report on equalities, or as a result of the Public Sector Equality Duty.</w:t>
      </w:r>
    </w:p>
    <w:p w:rsidR="008C6C65" w:rsidRPr="00044682" w:rsidRDefault="008C6C65" w:rsidP="00D647F3">
      <w:pPr>
        <w:pStyle w:val="ListParagraph"/>
        <w:ind w:left="360" w:right="141"/>
        <w:jc w:val="both"/>
        <w:rPr>
          <w:sz w:val="24"/>
          <w:szCs w:val="24"/>
          <w:lang w:val="en-US"/>
        </w:rPr>
      </w:pPr>
    </w:p>
    <w:p w:rsidR="00E35D14" w:rsidRDefault="00E35D14" w:rsidP="00D647F3">
      <w:pPr>
        <w:pStyle w:val="ListParagraph"/>
        <w:numPr>
          <w:ilvl w:val="1"/>
          <w:numId w:val="8"/>
        </w:numPr>
        <w:ind w:right="141"/>
        <w:jc w:val="both"/>
        <w:rPr>
          <w:sz w:val="24"/>
          <w:szCs w:val="24"/>
          <w:lang w:val="en-US"/>
        </w:rPr>
      </w:pPr>
      <w:r w:rsidRPr="00044682">
        <w:rPr>
          <w:sz w:val="24"/>
          <w:szCs w:val="24"/>
          <w:lang w:val="en-US"/>
        </w:rPr>
        <w:t>An Equality Impact Assessment has been carried out for the Regeneration Programme as a whole and has been recently updated (May 2019).</w:t>
      </w:r>
    </w:p>
    <w:p w:rsidR="00044682" w:rsidRPr="00044682" w:rsidRDefault="00044682" w:rsidP="00044682">
      <w:pPr>
        <w:ind w:right="141"/>
        <w:jc w:val="both"/>
        <w:rPr>
          <w:szCs w:val="24"/>
          <w:lang w:val="en-US"/>
        </w:rPr>
      </w:pPr>
    </w:p>
    <w:p w:rsidR="00E35D14" w:rsidRDefault="00E35D14" w:rsidP="00D647F3">
      <w:pPr>
        <w:ind w:right="141"/>
        <w:jc w:val="both"/>
        <w:rPr>
          <w:rFonts w:cs="Arial"/>
          <w:szCs w:val="24"/>
          <w:lang w:val="en-US"/>
        </w:rPr>
      </w:pPr>
    </w:p>
    <w:p w:rsidR="00E35D14" w:rsidRPr="008C6C65" w:rsidRDefault="00E35D14" w:rsidP="008C6C65">
      <w:pPr>
        <w:pStyle w:val="ListParagraph"/>
        <w:numPr>
          <w:ilvl w:val="0"/>
          <w:numId w:val="8"/>
        </w:numPr>
        <w:spacing w:line="276" w:lineRule="auto"/>
        <w:outlineLvl w:val="1"/>
        <w:rPr>
          <w:b/>
          <w:bCs/>
          <w:sz w:val="28"/>
          <w:szCs w:val="32"/>
        </w:rPr>
      </w:pPr>
      <w:r w:rsidRPr="008C6C65">
        <w:rPr>
          <w:b/>
          <w:bCs/>
          <w:sz w:val="28"/>
          <w:szCs w:val="32"/>
        </w:rPr>
        <w:t>Council Priorities</w:t>
      </w:r>
    </w:p>
    <w:p w:rsidR="00E35D14" w:rsidRPr="00E35D14" w:rsidRDefault="00E35D14" w:rsidP="00465E1B">
      <w:pPr>
        <w:keepNext/>
        <w:spacing w:line="276" w:lineRule="auto"/>
        <w:ind w:right="144"/>
        <w:rPr>
          <w:rFonts w:cs="Arial"/>
          <w:szCs w:val="24"/>
          <w:lang w:val="en-US"/>
        </w:rPr>
      </w:pPr>
    </w:p>
    <w:p w:rsidR="00E35D14" w:rsidRPr="00044682" w:rsidRDefault="00E35D14" w:rsidP="008C6C65">
      <w:pPr>
        <w:pStyle w:val="ListParagraph"/>
        <w:numPr>
          <w:ilvl w:val="1"/>
          <w:numId w:val="8"/>
        </w:numPr>
        <w:spacing w:line="276" w:lineRule="auto"/>
        <w:rPr>
          <w:sz w:val="24"/>
          <w:szCs w:val="24"/>
          <w:lang w:val="en-US"/>
        </w:rPr>
      </w:pPr>
      <w:r w:rsidRPr="00044682">
        <w:rPr>
          <w:sz w:val="24"/>
          <w:szCs w:val="24"/>
          <w:lang w:val="en-US"/>
        </w:rPr>
        <w:t>The content of this report relates to the Council’s Priorities in the following ways:</w:t>
      </w:r>
    </w:p>
    <w:p w:rsidR="00E35D14" w:rsidRPr="00044682" w:rsidRDefault="00E35D14" w:rsidP="00465E1B">
      <w:pPr>
        <w:spacing w:line="276" w:lineRule="auto"/>
        <w:rPr>
          <w:rFonts w:cs="Arial"/>
          <w:szCs w:val="24"/>
          <w:lang w:val="en-US"/>
        </w:rPr>
      </w:pPr>
    </w:p>
    <w:p w:rsidR="00E35D14" w:rsidRPr="00044682" w:rsidRDefault="001431F7" w:rsidP="00044682">
      <w:pPr>
        <w:spacing w:line="276" w:lineRule="auto"/>
        <w:ind w:left="360"/>
        <w:jc w:val="both"/>
        <w:rPr>
          <w:rFonts w:cs="Arial"/>
          <w:b/>
          <w:szCs w:val="24"/>
          <w:lang w:val="en-US"/>
        </w:rPr>
      </w:pPr>
      <w:r w:rsidRPr="00044682">
        <w:rPr>
          <w:rFonts w:cs="Arial"/>
          <w:b/>
          <w:szCs w:val="24"/>
          <w:lang w:val="en-US"/>
        </w:rPr>
        <w:t>Building a better Harrow</w:t>
      </w:r>
    </w:p>
    <w:p w:rsidR="00E35D14" w:rsidRPr="00044682" w:rsidRDefault="00E35D14" w:rsidP="00044682">
      <w:pPr>
        <w:ind w:left="360"/>
        <w:jc w:val="both"/>
        <w:rPr>
          <w:rFonts w:cs="Arial"/>
          <w:szCs w:val="24"/>
          <w:lang w:val="en-US"/>
        </w:rPr>
      </w:pPr>
      <w:r w:rsidRPr="00044682">
        <w:rPr>
          <w:rFonts w:cs="Arial"/>
          <w:szCs w:val="24"/>
          <w:lang w:val="en-US"/>
        </w:rPr>
        <w:t xml:space="preserve">The Council’s </w:t>
      </w:r>
      <w:r w:rsidR="0001324A" w:rsidRPr="00044682">
        <w:rPr>
          <w:rFonts w:cs="Arial"/>
          <w:szCs w:val="24"/>
          <w:lang w:val="en-US"/>
        </w:rPr>
        <w:t>R</w:t>
      </w:r>
      <w:r w:rsidRPr="00044682">
        <w:rPr>
          <w:rFonts w:cs="Arial"/>
          <w:szCs w:val="24"/>
          <w:lang w:val="en-US"/>
        </w:rPr>
        <w:t xml:space="preserve">egeneration </w:t>
      </w:r>
      <w:r w:rsidR="0001324A" w:rsidRPr="00044682">
        <w:rPr>
          <w:rFonts w:cs="Arial"/>
          <w:szCs w:val="24"/>
          <w:lang w:val="en-US"/>
        </w:rPr>
        <w:t>P</w:t>
      </w:r>
      <w:r w:rsidRPr="00044682">
        <w:rPr>
          <w:rFonts w:cs="Arial"/>
          <w:szCs w:val="24"/>
          <w:lang w:val="en-US"/>
        </w:rPr>
        <w:t>rogramme for the delivery of new homes, creation of new jobs, commercial workspaces and high quality town centres will create the places and opportunities that residents deserve and make a difference to the borough and to residents’ health and quality of life.</w:t>
      </w:r>
    </w:p>
    <w:p w:rsidR="00E35D14" w:rsidRPr="00044682" w:rsidRDefault="00E35D14" w:rsidP="00044682">
      <w:pPr>
        <w:spacing w:line="276" w:lineRule="auto"/>
        <w:ind w:left="360"/>
        <w:jc w:val="both"/>
        <w:rPr>
          <w:rFonts w:cs="Arial"/>
          <w:szCs w:val="24"/>
          <w:lang w:val="en-US"/>
        </w:rPr>
      </w:pPr>
    </w:p>
    <w:p w:rsidR="00963D87" w:rsidRDefault="00963D87" w:rsidP="00044682">
      <w:pPr>
        <w:spacing w:line="276" w:lineRule="auto"/>
        <w:ind w:left="360"/>
        <w:jc w:val="both"/>
        <w:rPr>
          <w:rFonts w:cs="Arial"/>
          <w:b/>
          <w:szCs w:val="24"/>
          <w:lang w:val="en-US"/>
        </w:rPr>
      </w:pPr>
    </w:p>
    <w:p w:rsidR="00963D87" w:rsidRDefault="00963D87" w:rsidP="00044682">
      <w:pPr>
        <w:spacing w:line="276" w:lineRule="auto"/>
        <w:ind w:left="360"/>
        <w:jc w:val="both"/>
        <w:rPr>
          <w:rFonts w:cs="Arial"/>
          <w:b/>
          <w:szCs w:val="24"/>
          <w:lang w:val="en-US"/>
        </w:rPr>
      </w:pPr>
    </w:p>
    <w:p w:rsidR="001431F7" w:rsidRPr="00044682" w:rsidRDefault="001431F7" w:rsidP="00044682">
      <w:pPr>
        <w:spacing w:line="276" w:lineRule="auto"/>
        <w:ind w:left="360"/>
        <w:jc w:val="both"/>
        <w:rPr>
          <w:rFonts w:cs="Arial"/>
          <w:b/>
          <w:szCs w:val="24"/>
          <w:lang w:val="en-US"/>
        </w:rPr>
      </w:pPr>
      <w:r w:rsidRPr="00044682">
        <w:rPr>
          <w:rFonts w:cs="Arial"/>
          <w:b/>
          <w:szCs w:val="24"/>
          <w:lang w:val="en-US"/>
        </w:rPr>
        <w:lastRenderedPageBreak/>
        <w:t>Supporting those most in need</w:t>
      </w:r>
    </w:p>
    <w:p w:rsidR="001431F7" w:rsidRPr="00044682" w:rsidRDefault="001431F7" w:rsidP="00044682">
      <w:pPr>
        <w:ind w:left="360"/>
        <w:jc w:val="both"/>
        <w:rPr>
          <w:rFonts w:cs="Arial"/>
          <w:szCs w:val="24"/>
          <w:lang w:val="en-US"/>
        </w:rPr>
      </w:pPr>
      <w:r w:rsidRPr="00044682">
        <w:rPr>
          <w:rFonts w:cs="Arial"/>
          <w:szCs w:val="24"/>
          <w:lang w:val="en-US"/>
        </w:rPr>
        <w:t>The Council’s aim for the Regeneration Programme is to make sure that those least able to look after themselves are properly cared for, safeguarded from abuse and neglect and given access to opportunities to improve their quality of life, health and well-being.</w:t>
      </w:r>
    </w:p>
    <w:p w:rsidR="001431F7" w:rsidRPr="00044682" w:rsidRDefault="001431F7" w:rsidP="00044682">
      <w:pPr>
        <w:spacing w:line="276" w:lineRule="auto"/>
        <w:ind w:left="360"/>
        <w:jc w:val="both"/>
        <w:rPr>
          <w:rFonts w:cs="Arial"/>
          <w:szCs w:val="24"/>
          <w:lang w:val="en-US"/>
        </w:rPr>
      </w:pPr>
    </w:p>
    <w:p w:rsidR="001431F7" w:rsidRPr="00044682" w:rsidRDefault="001431F7" w:rsidP="00044682">
      <w:pPr>
        <w:spacing w:line="276" w:lineRule="auto"/>
        <w:ind w:left="360"/>
        <w:jc w:val="both"/>
        <w:rPr>
          <w:rFonts w:cs="Arial"/>
          <w:b/>
          <w:szCs w:val="24"/>
          <w:lang w:val="en-US"/>
        </w:rPr>
      </w:pPr>
      <w:r w:rsidRPr="00044682">
        <w:rPr>
          <w:rFonts w:cs="Arial"/>
          <w:b/>
          <w:szCs w:val="24"/>
          <w:lang w:val="en-US"/>
        </w:rPr>
        <w:t>Protecting vital public services</w:t>
      </w:r>
    </w:p>
    <w:p w:rsidR="001431F7" w:rsidRPr="00044682" w:rsidRDefault="0042664C" w:rsidP="00044682">
      <w:pPr>
        <w:ind w:left="360"/>
        <w:jc w:val="both"/>
        <w:rPr>
          <w:rFonts w:cs="Arial"/>
          <w:szCs w:val="24"/>
          <w:lang w:val="en-US"/>
        </w:rPr>
      </w:pPr>
      <w:r w:rsidRPr="00044682">
        <w:rPr>
          <w:rFonts w:cs="Arial"/>
          <w:szCs w:val="24"/>
          <w:lang w:val="en-US"/>
        </w:rPr>
        <w:t>The Regeneration Strategy aims to provide the homes, schools and other infrastructure needed to meet the demands of our growing population and business base, through enhancements to Harrow and Wealdstone and Harrow on the Hill stations, schools expansion, new libraries, new public spaces, further work on Harrow’s green grid and the establishment of a town centre district energy network.</w:t>
      </w:r>
    </w:p>
    <w:p w:rsidR="001431F7" w:rsidRPr="00044682" w:rsidRDefault="001431F7" w:rsidP="00044682">
      <w:pPr>
        <w:spacing w:line="276" w:lineRule="auto"/>
        <w:ind w:left="360"/>
        <w:jc w:val="both"/>
        <w:rPr>
          <w:rFonts w:cs="Arial"/>
          <w:szCs w:val="24"/>
          <w:lang w:val="en-US"/>
        </w:rPr>
      </w:pPr>
    </w:p>
    <w:p w:rsidR="001431F7" w:rsidRPr="00044682" w:rsidRDefault="001431F7" w:rsidP="00044682">
      <w:pPr>
        <w:spacing w:line="276" w:lineRule="auto"/>
        <w:ind w:left="360"/>
        <w:jc w:val="both"/>
        <w:rPr>
          <w:rFonts w:cs="Arial"/>
          <w:b/>
          <w:szCs w:val="24"/>
          <w:lang w:val="en-US"/>
        </w:rPr>
      </w:pPr>
      <w:r w:rsidRPr="00044682">
        <w:rPr>
          <w:rFonts w:cs="Arial"/>
          <w:b/>
          <w:szCs w:val="24"/>
          <w:lang w:val="en-US"/>
        </w:rPr>
        <w:t>Delivering a strong local economy for all</w:t>
      </w:r>
    </w:p>
    <w:p w:rsidR="001431F7" w:rsidRPr="00044682" w:rsidRDefault="00000A03" w:rsidP="00044682">
      <w:pPr>
        <w:ind w:left="360"/>
        <w:jc w:val="both"/>
        <w:rPr>
          <w:rFonts w:cs="Arial"/>
          <w:szCs w:val="24"/>
          <w:lang w:val="en-US"/>
        </w:rPr>
      </w:pPr>
      <w:r w:rsidRPr="00044682">
        <w:rPr>
          <w:rFonts w:cs="Arial"/>
          <w:szCs w:val="24"/>
          <w:lang w:val="en-US"/>
        </w:rPr>
        <w:t>The Council aims to support local businesses and enable them to benefit from local economic growth, develop its own commercial ventures and help residents gain new skills to improve employment opportunities.</w:t>
      </w:r>
      <w:r w:rsidR="0001324A" w:rsidRPr="00044682">
        <w:rPr>
          <w:rFonts w:cs="Arial"/>
          <w:szCs w:val="24"/>
          <w:lang w:val="en-US"/>
        </w:rPr>
        <w:t xml:space="preserve"> The Regeneration Programme aims to reinforce our commercial centres, promote Harrow as an investment location, address skills shortages and support new business startups</w:t>
      </w:r>
      <w:r w:rsidR="00DF7B4D" w:rsidRPr="00044682">
        <w:rPr>
          <w:rFonts w:cs="Arial"/>
          <w:szCs w:val="24"/>
          <w:lang w:val="en-US"/>
        </w:rPr>
        <w:t>, and develop</w:t>
      </w:r>
      <w:r w:rsidR="0001324A" w:rsidRPr="00044682">
        <w:rPr>
          <w:rFonts w:cs="Arial"/>
          <w:szCs w:val="24"/>
          <w:lang w:val="en-US"/>
        </w:rPr>
        <w:t xml:space="preserve"> local supply chains through procurement.</w:t>
      </w:r>
    </w:p>
    <w:p w:rsidR="00000A03" w:rsidRPr="00044682" w:rsidRDefault="00000A03" w:rsidP="00044682">
      <w:pPr>
        <w:spacing w:line="276" w:lineRule="auto"/>
        <w:ind w:left="360"/>
        <w:jc w:val="both"/>
        <w:rPr>
          <w:rFonts w:cs="Arial"/>
          <w:szCs w:val="24"/>
          <w:lang w:val="en-US"/>
        </w:rPr>
      </w:pPr>
    </w:p>
    <w:p w:rsidR="001431F7" w:rsidRPr="00044682" w:rsidRDefault="001431F7" w:rsidP="00044682">
      <w:pPr>
        <w:spacing w:line="276" w:lineRule="auto"/>
        <w:ind w:left="360"/>
        <w:jc w:val="both"/>
        <w:rPr>
          <w:rFonts w:cs="Arial"/>
          <w:b/>
          <w:szCs w:val="24"/>
          <w:lang w:val="en-US"/>
        </w:rPr>
      </w:pPr>
      <w:r w:rsidRPr="00044682">
        <w:rPr>
          <w:rFonts w:cs="Arial"/>
          <w:b/>
          <w:szCs w:val="24"/>
          <w:lang w:val="en-US"/>
        </w:rPr>
        <w:t>Modernising Harrow Council</w:t>
      </w:r>
    </w:p>
    <w:p w:rsidR="001431F7" w:rsidRPr="00044682" w:rsidRDefault="00DF7B4D" w:rsidP="00044682">
      <w:pPr>
        <w:ind w:left="360"/>
        <w:jc w:val="both"/>
        <w:rPr>
          <w:rFonts w:cs="Arial"/>
          <w:szCs w:val="24"/>
          <w:lang w:val="en-US"/>
        </w:rPr>
      </w:pPr>
      <w:r w:rsidRPr="00044682">
        <w:rPr>
          <w:rFonts w:cs="Arial"/>
          <w:szCs w:val="24"/>
          <w:lang w:val="en-US"/>
        </w:rPr>
        <w:t>Our regeneration strategy reflects a new approach to the management of the Council’s property assets. The goal is to secure a long-term income from these assets, addressing long-term pressures on the Council’s revenue funding, whilst securing positive regeneration outcomes which will benefit the local economy and address our acute housing needs as a Borough.</w:t>
      </w:r>
    </w:p>
    <w:p w:rsidR="00DF7B4D" w:rsidRPr="00044682" w:rsidRDefault="00DF7B4D" w:rsidP="00044682">
      <w:pPr>
        <w:spacing w:line="276" w:lineRule="auto"/>
        <w:ind w:left="360"/>
        <w:jc w:val="both"/>
        <w:rPr>
          <w:rFonts w:cs="Arial"/>
          <w:szCs w:val="24"/>
          <w:lang w:val="en-US"/>
        </w:rPr>
      </w:pPr>
    </w:p>
    <w:p w:rsidR="00DF7B4D" w:rsidRPr="00044682" w:rsidRDefault="00DF7B4D" w:rsidP="00044682">
      <w:pPr>
        <w:ind w:left="360"/>
        <w:jc w:val="both"/>
        <w:rPr>
          <w:rFonts w:cs="Arial"/>
          <w:szCs w:val="24"/>
          <w:lang w:val="en-US"/>
        </w:rPr>
      </w:pPr>
      <w:r w:rsidRPr="00044682">
        <w:rPr>
          <w:rFonts w:cs="Arial"/>
          <w:szCs w:val="24"/>
          <w:lang w:val="en-US"/>
        </w:rPr>
        <w:t xml:space="preserve">Delivery of a new civic centre will provide a more cost-effective, well-designed and efficient home </w:t>
      </w:r>
      <w:r w:rsidR="0042664C" w:rsidRPr="00044682">
        <w:rPr>
          <w:rFonts w:cs="Arial"/>
          <w:szCs w:val="24"/>
          <w:lang w:val="en-US"/>
        </w:rPr>
        <w:t>for the Council, more suited to modern methods of working and civic activity.</w:t>
      </w:r>
    </w:p>
    <w:p w:rsidR="005441BD" w:rsidRDefault="005441BD" w:rsidP="00465E1B">
      <w:pPr>
        <w:pStyle w:val="Heading1"/>
        <w:keepNext/>
        <w:spacing w:line="276" w:lineRule="auto"/>
      </w:pPr>
      <w:r>
        <w:t xml:space="preserve">Section </w:t>
      </w:r>
      <w:r w:rsidR="008C6C65">
        <w:t>10</w:t>
      </w:r>
      <w:r>
        <w:t xml:space="preserve"> - Statutory Officer Clearance</w:t>
      </w:r>
    </w:p>
    <w:p w:rsidR="00B36547" w:rsidRDefault="00B36547" w:rsidP="00465E1B">
      <w:pPr>
        <w:keepNext/>
        <w:spacing w:line="276" w:lineRule="auto"/>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356"/>
        <w:gridCol w:w="222"/>
        <w:gridCol w:w="3539"/>
      </w:tblGrid>
      <w:tr w:rsidR="005441BD">
        <w:tc>
          <w:tcPr>
            <w:tcW w:w="2791" w:type="pct"/>
            <w:tcBorders>
              <w:bottom w:val="nil"/>
              <w:right w:val="nil"/>
            </w:tcBorders>
          </w:tcPr>
          <w:p w:rsidR="005441BD" w:rsidRDefault="005441BD" w:rsidP="00465E1B">
            <w:pPr>
              <w:pStyle w:val="Infotext"/>
              <w:spacing w:line="276" w:lineRule="auto"/>
            </w:pPr>
          </w:p>
          <w:p w:rsidR="005441BD" w:rsidRDefault="005441BD" w:rsidP="00465E1B">
            <w:pPr>
              <w:pStyle w:val="Infotext"/>
              <w:spacing w:line="276" w:lineRule="auto"/>
            </w:pPr>
          </w:p>
        </w:tc>
        <w:tc>
          <w:tcPr>
            <w:tcW w:w="138" w:type="pct"/>
            <w:tcBorders>
              <w:left w:val="nil"/>
              <w:right w:val="nil"/>
            </w:tcBorders>
          </w:tcPr>
          <w:p w:rsidR="005441BD" w:rsidRDefault="005441BD" w:rsidP="00465E1B">
            <w:pPr>
              <w:pStyle w:val="Infotext"/>
              <w:spacing w:line="276" w:lineRule="auto"/>
            </w:pPr>
          </w:p>
        </w:tc>
        <w:tc>
          <w:tcPr>
            <w:tcW w:w="138" w:type="pct"/>
            <w:tcBorders>
              <w:left w:val="nil"/>
              <w:bottom w:val="nil"/>
              <w:right w:val="nil"/>
            </w:tcBorders>
          </w:tcPr>
          <w:p w:rsidR="005441BD" w:rsidRDefault="005441BD" w:rsidP="00465E1B">
            <w:pPr>
              <w:pStyle w:val="Infotext"/>
              <w:spacing w:line="276" w:lineRule="auto"/>
            </w:pPr>
          </w:p>
        </w:tc>
        <w:tc>
          <w:tcPr>
            <w:tcW w:w="1932" w:type="pct"/>
            <w:tcBorders>
              <w:left w:val="nil"/>
              <w:bottom w:val="nil"/>
            </w:tcBorders>
          </w:tcPr>
          <w:p w:rsidR="005441BD" w:rsidRDefault="005441BD" w:rsidP="00465E1B">
            <w:pPr>
              <w:pStyle w:val="Infotext"/>
              <w:spacing w:line="276" w:lineRule="auto"/>
            </w:pPr>
          </w:p>
        </w:tc>
      </w:tr>
      <w:tr w:rsidR="005441BD">
        <w:tc>
          <w:tcPr>
            <w:tcW w:w="2791" w:type="pct"/>
            <w:tcBorders>
              <w:top w:val="nil"/>
              <w:bottom w:val="nil"/>
            </w:tcBorders>
          </w:tcPr>
          <w:p w:rsidR="005441BD" w:rsidRDefault="005441BD" w:rsidP="00AF334B">
            <w:pPr>
              <w:pStyle w:val="Infotext"/>
              <w:spacing w:line="276" w:lineRule="auto"/>
            </w:pPr>
            <w:r>
              <w:t>Name:</w:t>
            </w:r>
            <w:r w:rsidR="007217F4">
              <w:t xml:space="preserve">  </w:t>
            </w:r>
            <w:r w:rsidR="00AF334B">
              <w:t>Dawn Calvert</w:t>
            </w:r>
          </w:p>
        </w:tc>
        <w:tc>
          <w:tcPr>
            <w:tcW w:w="138" w:type="pct"/>
            <w:tcBorders>
              <w:bottom w:val="single" w:sz="4" w:space="0" w:color="auto"/>
            </w:tcBorders>
          </w:tcPr>
          <w:p w:rsidR="005441BD" w:rsidRDefault="001F4204" w:rsidP="00465E1B">
            <w:pPr>
              <w:pStyle w:val="Infotext"/>
              <w:spacing w:line="276" w:lineRule="auto"/>
            </w:pPr>
            <w:r>
              <w:t>x</w:t>
            </w:r>
          </w:p>
        </w:tc>
        <w:tc>
          <w:tcPr>
            <w:tcW w:w="138" w:type="pct"/>
            <w:tcBorders>
              <w:top w:val="nil"/>
              <w:bottom w:val="nil"/>
              <w:right w:val="nil"/>
            </w:tcBorders>
          </w:tcPr>
          <w:p w:rsidR="005441BD" w:rsidRDefault="005441BD" w:rsidP="00465E1B">
            <w:pPr>
              <w:pStyle w:val="Infotext"/>
              <w:spacing w:line="276" w:lineRule="auto"/>
            </w:pPr>
          </w:p>
        </w:tc>
        <w:tc>
          <w:tcPr>
            <w:tcW w:w="1932" w:type="pct"/>
            <w:tcBorders>
              <w:top w:val="nil"/>
              <w:left w:val="nil"/>
              <w:bottom w:val="nil"/>
            </w:tcBorders>
          </w:tcPr>
          <w:p w:rsidR="005441BD" w:rsidRDefault="005441BD" w:rsidP="00465E1B">
            <w:pPr>
              <w:pStyle w:val="Infotext"/>
              <w:spacing w:line="276" w:lineRule="auto"/>
            </w:pPr>
            <w:r>
              <w:t>Chief Financial Officer</w:t>
            </w:r>
          </w:p>
        </w:tc>
      </w:tr>
      <w:tr w:rsidR="005441BD">
        <w:tc>
          <w:tcPr>
            <w:tcW w:w="2791" w:type="pct"/>
            <w:tcBorders>
              <w:top w:val="nil"/>
              <w:right w:val="nil"/>
            </w:tcBorders>
          </w:tcPr>
          <w:p w:rsidR="005441BD" w:rsidRDefault="005441BD" w:rsidP="00465E1B">
            <w:pPr>
              <w:pStyle w:val="Infotext"/>
              <w:spacing w:line="276" w:lineRule="auto"/>
            </w:pPr>
            <w:r>
              <w:t xml:space="preserve"> </w:t>
            </w:r>
          </w:p>
          <w:p w:rsidR="005441BD" w:rsidRDefault="005441BD" w:rsidP="00D66604">
            <w:pPr>
              <w:pStyle w:val="Infotext"/>
              <w:spacing w:line="276" w:lineRule="auto"/>
            </w:pPr>
            <w:r>
              <w:t xml:space="preserve">Date: </w:t>
            </w:r>
            <w:r w:rsidR="007217F4">
              <w:t xml:space="preserve"> </w:t>
            </w:r>
            <w:r w:rsidR="00B0007D">
              <w:t>3</w:t>
            </w:r>
            <w:r w:rsidR="00D66604">
              <w:t>1.</w:t>
            </w:r>
            <w:r w:rsidR="00B0007D">
              <w:t>10.19</w:t>
            </w:r>
          </w:p>
        </w:tc>
        <w:tc>
          <w:tcPr>
            <w:tcW w:w="138" w:type="pct"/>
            <w:tcBorders>
              <w:left w:val="nil"/>
              <w:bottom w:val="single" w:sz="4" w:space="0" w:color="auto"/>
              <w:right w:val="nil"/>
            </w:tcBorders>
          </w:tcPr>
          <w:p w:rsidR="005441BD" w:rsidRDefault="005441BD" w:rsidP="00465E1B">
            <w:pPr>
              <w:pStyle w:val="Infotext"/>
              <w:spacing w:line="276" w:lineRule="auto"/>
            </w:pPr>
          </w:p>
        </w:tc>
        <w:tc>
          <w:tcPr>
            <w:tcW w:w="138" w:type="pct"/>
            <w:tcBorders>
              <w:top w:val="nil"/>
              <w:left w:val="nil"/>
              <w:right w:val="nil"/>
            </w:tcBorders>
          </w:tcPr>
          <w:p w:rsidR="005441BD" w:rsidRDefault="005441BD" w:rsidP="00465E1B">
            <w:pPr>
              <w:pStyle w:val="Infotext"/>
              <w:spacing w:line="276" w:lineRule="auto"/>
            </w:pPr>
          </w:p>
        </w:tc>
        <w:tc>
          <w:tcPr>
            <w:tcW w:w="1932" w:type="pct"/>
            <w:tcBorders>
              <w:top w:val="nil"/>
              <w:left w:val="nil"/>
            </w:tcBorders>
          </w:tcPr>
          <w:p w:rsidR="005441BD" w:rsidRDefault="005441BD" w:rsidP="00465E1B">
            <w:pPr>
              <w:pStyle w:val="Infotext"/>
              <w:spacing w:line="276" w:lineRule="auto"/>
            </w:pPr>
          </w:p>
        </w:tc>
      </w:tr>
      <w:tr w:rsidR="005441BD">
        <w:tc>
          <w:tcPr>
            <w:tcW w:w="2791" w:type="pct"/>
            <w:tcBorders>
              <w:bottom w:val="nil"/>
              <w:right w:val="nil"/>
            </w:tcBorders>
          </w:tcPr>
          <w:p w:rsidR="005441BD" w:rsidRDefault="005441BD" w:rsidP="00465E1B">
            <w:pPr>
              <w:pStyle w:val="Infotext"/>
              <w:spacing w:line="276" w:lineRule="auto"/>
            </w:pPr>
          </w:p>
          <w:p w:rsidR="005441BD" w:rsidRDefault="005441BD" w:rsidP="00465E1B">
            <w:pPr>
              <w:pStyle w:val="Infotext"/>
              <w:spacing w:line="276" w:lineRule="auto"/>
            </w:pPr>
          </w:p>
        </w:tc>
        <w:tc>
          <w:tcPr>
            <w:tcW w:w="138" w:type="pct"/>
            <w:tcBorders>
              <w:left w:val="nil"/>
              <w:right w:val="nil"/>
            </w:tcBorders>
          </w:tcPr>
          <w:p w:rsidR="005441BD" w:rsidRDefault="005441BD" w:rsidP="00465E1B">
            <w:pPr>
              <w:pStyle w:val="Infotext"/>
              <w:spacing w:line="276" w:lineRule="auto"/>
            </w:pPr>
          </w:p>
        </w:tc>
        <w:tc>
          <w:tcPr>
            <w:tcW w:w="138" w:type="pct"/>
            <w:tcBorders>
              <w:left w:val="nil"/>
              <w:bottom w:val="nil"/>
              <w:right w:val="nil"/>
            </w:tcBorders>
          </w:tcPr>
          <w:p w:rsidR="005441BD" w:rsidRDefault="005441BD" w:rsidP="00465E1B">
            <w:pPr>
              <w:pStyle w:val="Infotext"/>
              <w:spacing w:line="276" w:lineRule="auto"/>
            </w:pPr>
          </w:p>
        </w:tc>
        <w:tc>
          <w:tcPr>
            <w:tcW w:w="1932" w:type="pct"/>
            <w:tcBorders>
              <w:left w:val="nil"/>
              <w:bottom w:val="nil"/>
            </w:tcBorders>
          </w:tcPr>
          <w:p w:rsidR="005441BD" w:rsidRDefault="005441BD" w:rsidP="00465E1B">
            <w:pPr>
              <w:pStyle w:val="Infotext"/>
              <w:spacing w:line="276" w:lineRule="auto"/>
            </w:pPr>
          </w:p>
          <w:p w:rsidR="005441BD" w:rsidRDefault="005441BD" w:rsidP="00465E1B">
            <w:pPr>
              <w:pStyle w:val="Infotext"/>
              <w:spacing w:line="276" w:lineRule="auto"/>
            </w:pPr>
          </w:p>
        </w:tc>
      </w:tr>
      <w:tr w:rsidR="005441BD">
        <w:tc>
          <w:tcPr>
            <w:tcW w:w="2791" w:type="pct"/>
            <w:tcBorders>
              <w:top w:val="nil"/>
              <w:bottom w:val="nil"/>
            </w:tcBorders>
          </w:tcPr>
          <w:p w:rsidR="005441BD" w:rsidRDefault="005441BD" w:rsidP="00AF334B">
            <w:pPr>
              <w:pStyle w:val="Infotext"/>
              <w:spacing w:line="276" w:lineRule="auto"/>
            </w:pPr>
            <w:r>
              <w:t xml:space="preserve">Name: </w:t>
            </w:r>
            <w:r w:rsidR="007217F4">
              <w:t xml:space="preserve"> </w:t>
            </w:r>
            <w:r w:rsidR="00AF334B">
              <w:t>Hugh Peart</w:t>
            </w:r>
          </w:p>
        </w:tc>
        <w:tc>
          <w:tcPr>
            <w:tcW w:w="138" w:type="pct"/>
            <w:tcBorders>
              <w:bottom w:val="single" w:sz="4" w:space="0" w:color="auto"/>
            </w:tcBorders>
          </w:tcPr>
          <w:p w:rsidR="005441BD" w:rsidRDefault="001F4204" w:rsidP="00465E1B">
            <w:pPr>
              <w:pStyle w:val="Infotext"/>
              <w:spacing w:line="276" w:lineRule="auto"/>
            </w:pPr>
            <w:r>
              <w:t>x</w:t>
            </w:r>
          </w:p>
        </w:tc>
        <w:tc>
          <w:tcPr>
            <w:tcW w:w="138" w:type="pct"/>
            <w:tcBorders>
              <w:top w:val="nil"/>
              <w:bottom w:val="nil"/>
              <w:right w:val="nil"/>
            </w:tcBorders>
          </w:tcPr>
          <w:p w:rsidR="005441BD" w:rsidRDefault="005441BD" w:rsidP="00465E1B">
            <w:pPr>
              <w:pStyle w:val="Infotext"/>
              <w:spacing w:line="276" w:lineRule="auto"/>
            </w:pPr>
          </w:p>
        </w:tc>
        <w:tc>
          <w:tcPr>
            <w:tcW w:w="1932" w:type="pct"/>
            <w:tcBorders>
              <w:top w:val="nil"/>
              <w:left w:val="nil"/>
              <w:bottom w:val="nil"/>
            </w:tcBorders>
          </w:tcPr>
          <w:p w:rsidR="005441BD" w:rsidRDefault="005441BD" w:rsidP="00465E1B">
            <w:pPr>
              <w:pStyle w:val="Infotext"/>
              <w:spacing w:line="276" w:lineRule="auto"/>
            </w:pPr>
            <w:r>
              <w:t>Monitoring Officer</w:t>
            </w:r>
          </w:p>
        </w:tc>
      </w:tr>
      <w:tr w:rsidR="005441BD">
        <w:tc>
          <w:tcPr>
            <w:tcW w:w="2791" w:type="pct"/>
            <w:tcBorders>
              <w:top w:val="nil"/>
              <w:right w:val="nil"/>
            </w:tcBorders>
          </w:tcPr>
          <w:p w:rsidR="005441BD" w:rsidRDefault="005441BD" w:rsidP="00465E1B">
            <w:pPr>
              <w:pStyle w:val="Infotext"/>
              <w:spacing w:line="276" w:lineRule="auto"/>
            </w:pPr>
          </w:p>
          <w:p w:rsidR="005441BD" w:rsidRDefault="005441BD" w:rsidP="00D66604">
            <w:pPr>
              <w:pStyle w:val="Infotext"/>
              <w:spacing w:line="276" w:lineRule="auto"/>
            </w:pPr>
            <w:r>
              <w:t xml:space="preserve">Date: </w:t>
            </w:r>
            <w:r w:rsidR="007217F4">
              <w:t xml:space="preserve"> </w:t>
            </w:r>
            <w:r w:rsidR="00B0007D">
              <w:t>3</w:t>
            </w:r>
            <w:r w:rsidR="00D66604">
              <w:t>1</w:t>
            </w:r>
            <w:r w:rsidR="00B0007D">
              <w:t>.10.19</w:t>
            </w:r>
          </w:p>
        </w:tc>
        <w:tc>
          <w:tcPr>
            <w:tcW w:w="138" w:type="pct"/>
            <w:tcBorders>
              <w:left w:val="nil"/>
              <w:right w:val="nil"/>
            </w:tcBorders>
          </w:tcPr>
          <w:p w:rsidR="005441BD" w:rsidRDefault="005441BD" w:rsidP="00465E1B">
            <w:pPr>
              <w:pStyle w:val="Infotext"/>
              <w:spacing w:line="276" w:lineRule="auto"/>
            </w:pPr>
          </w:p>
        </w:tc>
        <w:tc>
          <w:tcPr>
            <w:tcW w:w="138" w:type="pct"/>
            <w:tcBorders>
              <w:top w:val="nil"/>
              <w:left w:val="nil"/>
              <w:right w:val="nil"/>
            </w:tcBorders>
          </w:tcPr>
          <w:p w:rsidR="005441BD" w:rsidRDefault="005441BD" w:rsidP="00465E1B">
            <w:pPr>
              <w:pStyle w:val="Infotext"/>
              <w:spacing w:line="276" w:lineRule="auto"/>
            </w:pPr>
          </w:p>
        </w:tc>
        <w:tc>
          <w:tcPr>
            <w:tcW w:w="1932" w:type="pct"/>
            <w:tcBorders>
              <w:top w:val="nil"/>
              <w:left w:val="nil"/>
            </w:tcBorders>
          </w:tcPr>
          <w:p w:rsidR="005441BD" w:rsidRDefault="005441BD" w:rsidP="00465E1B">
            <w:pPr>
              <w:pStyle w:val="Infotext"/>
              <w:spacing w:line="276" w:lineRule="auto"/>
            </w:pPr>
          </w:p>
          <w:p w:rsidR="005441BD" w:rsidRDefault="005441BD" w:rsidP="00465E1B">
            <w:pPr>
              <w:pStyle w:val="Infotext"/>
              <w:spacing w:line="276" w:lineRule="auto"/>
            </w:pPr>
          </w:p>
        </w:tc>
      </w:tr>
    </w:tbl>
    <w:p w:rsidR="005441BD" w:rsidRDefault="005441BD" w:rsidP="00465E1B">
      <w:pPr>
        <w:spacing w:line="276" w:lineRule="auto"/>
      </w:pPr>
    </w:p>
    <w:p w:rsidR="00F63742" w:rsidRDefault="00F63742" w:rsidP="00465E1B">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387"/>
        <w:gridCol w:w="236"/>
        <w:gridCol w:w="3882"/>
      </w:tblGrid>
      <w:tr w:rsidR="00F63742" w:rsidTr="001C1569">
        <w:tc>
          <w:tcPr>
            <w:tcW w:w="4752" w:type="dxa"/>
            <w:tcBorders>
              <w:bottom w:val="nil"/>
              <w:right w:val="nil"/>
            </w:tcBorders>
          </w:tcPr>
          <w:p w:rsidR="00F63742" w:rsidRDefault="00F63742" w:rsidP="00465E1B">
            <w:pPr>
              <w:pStyle w:val="Infotext"/>
              <w:spacing w:line="276" w:lineRule="auto"/>
            </w:pPr>
          </w:p>
          <w:p w:rsidR="00F63742" w:rsidRDefault="00F63742" w:rsidP="00465E1B">
            <w:pPr>
              <w:pStyle w:val="Infotext"/>
              <w:spacing w:line="276" w:lineRule="auto"/>
            </w:pPr>
          </w:p>
        </w:tc>
        <w:tc>
          <w:tcPr>
            <w:tcW w:w="387" w:type="dxa"/>
            <w:tcBorders>
              <w:left w:val="nil"/>
              <w:right w:val="nil"/>
            </w:tcBorders>
          </w:tcPr>
          <w:p w:rsidR="00F63742" w:rsidRDefault="00F63742" w:rsidP="00465E1B">
            <w:pPr>
              <w:pStyle w:val="Infotext"/>
              <w:spacing w:line="276" w:lineRule="auto"/>
            </w:pPr>
          </w:p>
        </w:tc>
        <w:tc>
          <w:tcPr>
            <w:tcW w:w="236" w:type="dxa"/>
            <w:tcBorders>
              <w:left w:val="nil"/>
              <w:bottom w:val="nil"/>
              <w:right w:val="nil"/>
            </w:tcBorders>
          </w:tcPr>
          <w:p w:rsidR="00F63742" w:rsidRDefault="00F63742" w:rsidP="00465E1B">
            <w:pPr>
              <w:pStyle w:val="Infotext"/>
              <w:spacing w:line="276" w:lineRule="auto"/>
            </w:pPr>
          </w:p>
        </w:tc>
        <w:tc>
          <w:tcPr>
            <w:tcW w:w="3890" w:type="dxa"/>
            <w:tcBorders>
              <w:left w:val="nil"/>
              <w:bottom w:val="nil"/>
            </w:tcBorders>
          </w:tcPr>
          <w:p w:rsidR="00F63742" w:rsidRDefault="00F63742" w:rsidP="00465E1B">
            <w:pPr>
              <w:pStyle w:val="Infotext"/>
              <w:spacing w:line="276" w:lineRule="auto"/>
            </w:pPr>
          </w:p>
          <w:p w:rsidR="00F63742" w:rsidRDefault="00F63742" w:rsidP="00465E1B">
            <w:pPr>
              <w:pStyle w:val="Infotext"/>
              <w:spacing w:line="276" w:lineRule="auto"/>
            </w:pPr>
          </w:p>
        </w:tc>
      </w:tr>
      <w:tr w:rsidR="00F63742" w:rsidTr="001C1569">
        <w:tc>
          <w:tcPr>
            <w:tcW w:w="4752" w:type="dxa"/>
            <w:tcBorders>
              <w:top w:val="nil"/>
              <w:bottom w:val="nil"/>
            </w:tcBorders>
          </w:tcPr>
          <w:p w:rsidR="00F63742" w:rsidRDefault="00F63742" w:rsidP="00465E1B">
            <w:pPr>
              <w:pStyle w:val="Infotext"/>
              <w:spacing w:line="276" w:lineRule="auto"/>
            </w:pPr>
            <w:r>
              <w:t xml:space="preserve">Name: </w:t>
            </w:r>
            <w:r w:rsidR="007217F4">
              <w:t xml:space="preserve"> </w:t>
            </w:r>
            <w:r w:rsidR="00193AAC">
              <w:t>Paul Walker</w:t>
            </w:r>
          </w:p>
        </w:tc>
        <w:tc>
          <w:tcPr>
            <w:tcW w:w="387" w:type="dxa"/>
            <w:tcBorders>
              <w:bottom w:val="single" w:sz="4" w:space="0" w:color="auto"/>
            </w:tcBorders>
          </w:tcPr>
          <w:p w:rsidR="00F63742" w:rsidRDefault="001F4204" w:rsidP="00465E1B">
            <w:pPr>
              <w:pStyle w:val="Infotext"/>
              <w:spacing w:line="276" w:lineRule="auto"/>
            </w:pPr>
            <w:r>
              <w:t>x</w:t>
            </w:r>
          </w:p>
        </w:tc>
        <w:tc>
          <w:tcPr>
            <w:tcW w:w="236" w:type="dxa"/>
            <w:tcBorders>
              <w:top w:val="nil"/>
              <w:bottom w:val="nil"/>
              <w:right w:val="nil"/>
            </w:tcBorders>
          </w:tcPr>
          <w:p w:rsidR="00F63742" w:rsidRDefault="00F63742" w:rsidP="00465E1B">
            <w:pPr>
              <w:pStyle w:val="Infotext"/>
              <w:spacing w:line="276" w:lineRule="auto"/>
            </w:pPr>
          </w:p>
        </w:tc>
        <w:tc>
          <w:tcPr>
            <w:tcW w:w="3890" w:type="dxa"/>
            <w:tcBorders>
              <w:top w:val="nil"/>
              <w:left w:val="nil"/>
              <w:bottom w:val="nil"/>
            </w:tcBorders>
          </w:tcPr>
          <w:p w:rsidR="00F63742" w:rsidRDefault="00F63742" w:rsidP="006914A4">
            <w:pPr>
              <w:pStyle w:val="Infotext"/>
              <w:spacing w:line="276" w:lineRule="auto"/>
            </w:pPr>
            <w:r>
              <w:t>Corporate Director</w:t>
            </w:r>
            <w:r w:rsidR="006914A4">
              <w:t xml:space="preserve"> of </w:t>
            </w:r>
          </w:p>
        </w:tc>
      </w:tr>
      <w:tr w:rsidR="00F63742" w:rsidTr="001C1569">
        <w:tc>
          <w:tcPr>
            <w:tcW w:w="4752" w:type="dxa"/>
            <w:tcBorders>
              <w:top w:val="nil"/>
              <w:right w:val="nil"/>
            </w:tcBorders>
          </w:tcPr>
          <w:p w:rsidR="00F63742" w:rsidRDefault="00F63742" w:rsidP="00465E1B">
            <w:pPr>
              <w:pStyle w:val="Infotext"/>
              <w:spacing w:line="276" w:lineRule="auto"/>
            </w:pPr>
            <w:r>
              <w:t xml:space="preserve"> </w:t>
            </w:r>
          </w:p>
          <w:p w:rsidR="00F63742" w:rsidRDefault="00F63742" w:rsidP="00D66604">
            <w:pPr>
              <w:pStyle w:val="Infotext"/>
              <w:spacing w:line="276" w:lineRule="auto"/>
            </w:pPr>
            <w:r>
              <w:t xml:space="preserve">Date: </w:t>
            </w:r>
            <w:r w:rsidR="007217F4">
              <w:t xml:space="preserve"> </w:t>
            </w:r>
            <w:r w:rsidR="00B0007D">
              <w:t>3</w:t>
            </w:r>
            <w:r w:rsidR="00D66604">
              <w:t>1</w:t>
            </w:r>
            <w:r w:rsidR="00B0007D">
              <w:t>.10.19</w:t>
            </w:r>
          </w:p>
        </w:tc>
        <w:tc>
          <w:tcPr>
            <w:tcW w:w="387" w:type="dxa"/>
            <w:tcBorders>
              <w:left w:val="nil"/>
              <w:bottom w:val="single" w:sz="4" w:space="0" w:color="auto"/>
              <w:right w:val="nil"/>
            </w:tcBorders>
          </w:tcPr>
          <w:p w:rsidR="00F63742" w:rsidRDefault="00F63742" w:rsidP="00465E1B">
            <w:pPr>
              <w:pStyle w:val="Infotext"/>
              <w:spacing w:line="276" w:lineRule="auto"/>
            </w:pPr>
          </w:p>
        </w:tc>
        <w:tc>
          <w:tcPr>
            <w:tcW w:w="236" w:type="dxa"/>
            <w:tcBorders>
              <w:top w:val="nil"/>
              <w:left w:val="nil"/>
              <w:right w:val="nil"/>
            </w:tcBorders>
          </w:tcPr>
          <w:p w:rsidR="00F63742" w:rsidRDefault="00F63742" w:rsidP="00465E1B">
            <w:pPr>
              <w:pStyle w:val="Infotext"/>
              <w:spacing w:line="276" w:lineRule="auto"/>
            </w:pPr>
          </w:p>
        </w:tc>
        <w:tc>
          <w:tcPr>
            <w:tcW w:w="3890" w:type="dxa"/>
            <w:tcBorders>
              <w:top w:val="nil"/>
              <w:left w:val="nil"/>
            </w:tcBorders>
          </w:tcPr>
          <w:p w:rsidR="00F63742" w:rsidRDefault="006914A4" w:rsidP="00465E1B">
            <w:pPr>
              <w:pStyle w:val="Infotext"/>
              <w:spacing w:line="276" w:lineRule="auto"/>
            </w:pPr>
            <w:r>
              <w:t>Community</w:t>
            </w:r>
          </w:p>
        </w:tc>
      </w:tr>
    </w:tbl>
    <w:p w:rsidR="00B0007D" w:rsidRDefault="00B0007D" w:rsidP="00B0007D">
      <w:pPr>
        <w:rPr>
          <w:rFonts w:ascii="Arial Black" w:hAnsi="Arial Black" w:cs="Arial"/>
          <w:bCs/>
          <w:szCs w:val="24"/>
        </w:rPr>
      </w:pPr>
    </w:p>
    <w:p w:rsidR="00B0007D" w:rsidRPr="00B0007D" w:rsidRDefault="00B0007D" w:rsidP="00B000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3"/>
        <w:gridCol w:w="3652"/>
      </w:tblGrid>
      <w:tr w:rsidR="006377D6">
        <w:trPr>
          <w:trHeight w:val="965"/>
        </w:trPr>
        <w:tc>
          <w:tcPr>
            <w:tcW w:w="3025" w:type="pct"/>
            <w:tcBorders>
              <w:right w:val="nil"/>
            </w:tcBorders>
          </w:tcPr>
          <w:p w:rsidR="006377D6" w:rsidRDefault="006377D6" w:rsidP="00465E1B">
            <w:pPr>
              <w:pStyle w:val="Infotext"/>
              <w:spacing w:line="276" w:lineRule="auto"/>
              <w:rPr>
                <w:rFonts w:ascii="Arial Black" w:hAnsi="Arial Black"/>
              </w:rPr>
            </w:pPr>
            <w:r>
              <w:rPr>
                <w:rFonts w:ascii="Arial Black" w:hAnsi="Arial Black"/>
              </w:rPr>
              <w:t>Ward Councillors notified:</w:t>
            </w:r>
          </w:p>
          <w:p w:rsidR="006377D6" w:rsidRDefault="006377D6" w:rsidP="00465E1B">
            <w:pPr>
              <w:pStyle w:val="Infotext"/>
              <w:spacing w:line="276" w:lineRule="auto"/>
            </w:pPr>
          </w:p>
        </w:tc>
        <w:tc>
          <w:tcPr>
            <w:tcW w:w="1975" w:type="pct"/>
            <w:tcBorders>
              <w:left w:val="nil"/>
            </w:tcBorders>
          </w:tcPr>
          <w:p w:rsidR="006377D6" w:rsidRPr="003D78F6" w:rsidRDefault="006377D6" w:rsidP="00465E1B">
            <w:pPr>
              <w:pStyle w:val="Infotext"/>
              <w:spacing w:before="120" w:line="276" w:lineRule="auto"/>
              <w:rPr>
                <w:i/>
                <w:sz w:val="24"/>
                <w:szCs w:val="24"/>
              </w:rPr>
            </w:pPr>
            <w:r w:rsidRPr="00A406F3">
              <w:rPr>
                <w:b/>
              </w:rPr>
              <w:t>NO</w:t>
            </w:r>
            <w:r w:rsidR="00A8509C" w:rsidRPr="00A8509C">
              <w:rPr>
                <w:i/>
                <w:sz w:val="24"/>
                <w:szCs w:val="24"/>
              </w:rPr>
              <w:t>, as it impacts on all wards</w:t>
            </w:r>
            <w:r>
              <w:rPr>
                <w:i/>
                <w:sz w:val="24"/>
                <w:szCs w:val="24"/>
              </w:rPr>
              <w:t>.</w:t>
            </w:r>
          </w:p>
        </w:tc>
      </w:tr>
    </w:tbl>
    <w:p w:rsidR="006377D6" w:rsidRDefault="006377D6" w:rsidP="00465E1B">
      <w:pPr>
        <w:pStyle w:val="Heading1"/>
        <w:keepNext/>
        <w:spacing w:line="276" w:lineRule="auto"/>
        <w:rPr>
          <w:sz w:val="24"/>
          <w:szCs w:val="24"/>
        </w:rPr>
      </w:pPr>
    </w:p>
    <w:p w:rsidR="005441BD" w:rsidRDefault="005441BD" w:rsidP="00465E1B">
      <w:pPr>
        <w:pStyle w:val="Heading1"/>
        <w:keepNext/>
        <w:spacing w:line="276" w:lineRule="auto"/>
      </w:pPr>
      <w:r>
        <w:t xml:space="preserve">Section </w:t>
      </w:r>
      <w:r w:rsidR="00B0007D">
        <w:t>11</w:t>
      </w:r>
      <w:r>
        <w:t xml:space="preserve"> - Contact Details and Background Papers</w:t>
      </w:r>
    </w:p>
    <w:p w:rsidR="005441BD" w:rsidRDefault="005441BD" w:rsidP="00465E1B">
      <w:pPr>
        <w:keepNext/>
        <w:spacing w:line="276" w:lineRule="auto"/>
        <w:rPr>
          <w:rFonts w:cs="Arial"/>
        </w:rPr>
      </w:pPr>
    </w:p>
    <w:p w:rsidR="005441BD" w:rsidRDefault="005441BD" w:rsidP="00465E1B">
      <w:pPr>
        <w:pStyle w:val="Infotext"/>
        <w:spacing w:line="276" w:lineRule="auto"/>
        <w:rPr>
          <w:rFonts w:cs="Arial"/>
          <w:sz w:val="24"/>
        </w:rPr>
      </w:pPr>
      <w:r w:rsidRPr="000064A3">
        <w:rPr>
          <w:b/>
        </w:rPr>
        <w:t>Contact:</w:t>
      </w:r>
      <w:r w:rsidR="00755F86">
        <w:rPr>
          <w:b/>
        </w:rPr>
        <w:t xml:space="preserve"> </w:t>
      </w:r>
      <w:r w:rsidR="00A8509C" w:rsidRPr="00A8509C">
        <w:rPr>
          <w:rFonts w:cs="Arial"/>
          <w:sz w:val="24"/>
        </w:rPr>
        <w:t xml:space="preserve">Adam Towle, Regeneration Manager, </w:t>
      </w:r>
      <w:r w:rsidR="00044682">
        <w:rPr>
          <w:rFonts w:cs="Arial"/>
          <w:sz w:val="24"/>
        </w:rPr>
        <w:t>adam.towle@harrow.gov.uk</w:t>
      </w:r>
    </w:p>
    <w:p w:rsidR="005441BD" w:rsidRDefault="005441BD" w:rsidP="00465E1B">
      <w:pPr>
        <w:spacing w:line="276" w:lineRule="auto"/>
      </w:pPr>
    </w:p>
    <w:p w:rsidR="005441BD" w:rsidRDefault="005441BD" w:rsidP="00465E1B">
      <w:pPr>
        <w:pStyle w:val="Infotext"/>
        <w:spacing w:line="276" w:lineRule="auto"/>
        <w:rPr>
          <w:rFonts w:cs="Arial"/>
          <w:sz w:val="24"/>
        </w:rPr>
      </w:pPr>
      <w:r w:rsidRPr="000064A3">
        <w:rPr>
          <w:b/>
        </w:rPr>
        <w:t>Background Papers:</w:t>
      </w:r>
    </w:p>
    <w:p w:rsidR="00B0007D" w:rsidRDefault="004E7306" w:rsidP="00465E1B">
      <w:pPr>
        <w:pStyle w:val="Infotext"/>
        <w:spacing w:line="276" w:lineRule="auto"/>
        <w:rPr>
          <w:sz w:val="24"/>
          <w:szCs w:val="24"/>
        </w:rPr>
      </w:pPr>
      <w:r w:rsidRPr="004E7306">
        <w:rPr>
          <w:sz w:val="24"/>
          <w:szCs w:val="24"/>
        </w:rPr>
        <w:t xml:space="preserve">Report for Cabinet 30 </w:t>
      </w:r>
      <w:r w:rsidR="00B0007D" w:rsidRPr="004E7306">
        <w:rPr>
          <w:sz w:val="24"/>
          <w:szCs w:val="24"/>
        </w:rPr>
        <w:t xml:space="preserve">May 19, </w:t>
      </w:r>
      <w:r w:rsidRPr="004E7306">
        <w:rPr>
          <w:sz w:val="24"/>
          <w:szCs w:val="24"/>
        </w:rPr>
        <w:t>Harrow Strategic Development Partnership</w:t>
      </w:r>
    </w:p>
    <w:p w:rsidR="004E7306" w:rsidRPr="004E7306" w:rsidRDefault="004E7306" w:rsidP="00465E1B">
      <w:pPr>
        <w:pStyle w:val="Infotext"/>
        <w:spacing w:line="276" w:lineRule="auto"/>
        <w:rPr>
          <w:sz w:val="24"/>
          <w:szCs w:val="24"/>
        </w:rPr>
      </w:pPr>
      <w:r>
        <w:rPr>
          <w:sz w:val="24"/>
          <w:szCs w:val="24"/>
        </w:rPr>
        <w:t>Available at:</w:t>
      </w:r>
    </w:p>
    <w:p w:rsidR="004E7306" w:rsidRDefault="00F05A8A" w:rsidP="004E7306">
      <w:pPr>
        <w:spacing w:line="276" w:lineRule="auto"/>
        <w:jc w:val="both"/>
        <w:rPr>
          <w:sz w:val="22"/>
          <w:szCs w:val="22"/>
        </w:rPr>
      </w:pPr>
      <w:hyperlink r:id="rId12" w:history="1">
        <w:r w:rsidR="004E7306" w:rsidRPr="00792C3B">
          <w:rPr>
            <w:rStyle w:val="Hyperlink"/>
            <w:sz w:val="22"/>
            <w:szCs w:val="22"/>
          </w:rPr>
          <w:t>https://www2.harrow.gov.uk/documents/s156670/SDP%20-%20Final%20cover%20report.pdf</w:t>
        </w:r>
      </w:hyperlink>
    </w:p>
    <w:p w:rsidR="00B0007D" w:rsidRDefault="00B0007D" w:rsidP="00465E1B">
      <w:pPr>
        <w:pStyle w:val="Infotext"/>
        <w:spacing w:line="276" w:lineRule="auto"/>
      </w:pPr>
    </w:p>
    <w:p w:rsidR="00A8509C" w:rsidRPr="0092563D" w:rsidRDefault="00A8509C" w:rsidP="00465E1B">
      <w:pPr>
        <w:spacing w:line="276" w:lineRule="auto"/>
      </w:pPr>
      <w:r w:rsidRPr="0092563D">
        <w:rPr>
          <w:i/>
        </w:rPr>
        <w:t>Financing of the R</w:t>
      </w:r>
      <w:r>
        <w:rPr>
          <w:i/>
        </w:rPr>
        <w:t>egeneration Programme in Harrow</w:t>
      </w:r>
      <w:r>
        <w:t>, Regeneration Scrutiny Review Panel</w:t>
      </w:r>
    </w:p>
    <w:p w:rsidR="00A8509C" w:rsidRDefault="00A8509C" w:rsidP="00465E1B">
      <w:pPr>
        <w:spacing w:line="276" w:lineRule="auto"/>
      </w:pPr>
      <w:r>
        <w:t xml:space="preserve">Available at: </w:t>
      </w:r>
      <w:hyperlink r:id="rId13" w:history="1">
        <w:r w:rsidRPr="00DE38C0">
          <w:rPr>
            <w:rStyle w:val="Hyperlink"/>
          </w:rPr>
          <w:t>http://moderngov:8080/documents/s150199/Regeneration%20Scrutiny%20Panel%20-%20Final%20Report%20-%20March%20Cabinet.pdf</w:t>
        </w:r>
      </w:hyperlink>
    </w:p>
    <w:p w:rsidR="00A8509C" w:rsidRDefault="00A8509C" w:rsidP="00465E1B">
      <w:pPr>
        <w:spacing w:line="276" w:lineRule="auto"/>
      </w:pPr>
    </w:p>
    <w:p w:rsidR="00A8509C" w:rsidRDefault="00A8509C" w:rsidP="00465E1B">
      <w:pPr>
        <w:spacing w:line="276" w:lineRule="auto"/>
      </w:pPr>
      <w:r>
        <w:t>Overview and scrutiny committee, minutes, 27 February 2018</w:t>
      </w:r>
    </w:p>
    <w:p w:rsidR="00A8509C" w:rsidRDefault="00A8509C" w:rsidP="00465E1B">
      <w:pPr>
        <w:spacing w:line="276" w:lineRule="auto"/>
      </w:pPr>
      <w:r>
        <w:t>Available at:</w:t>
      </w:r>
    </w:p>
    <w:p w:rsidR="00A8509C" w:rsidRDefault="00F05A8A" w:rsidP="00465E1B">
      <w:pPr>
        <w:spacing w:line="276" w:lineRule="auto"/>
      </w:pPr>
      <w:hyperlink r:id="rId14" w:history="1">
        <w:r w:rsidR="00A8509C" w:rsidRPr="00DE38C0">
          <w:rPr>
            <w:rStyle w:val="Hyperlink"/>
          </w:rPr>
          <w:t>http://www.harrow.gov.uk/www2/documents/g64191/Printed%20minutes%20Tuesday%2027-Feb-2018%2020.30%20Overview%20and%20Scrutiny%20Committee.pdf?T=1</w:t>
        </w:r>
      </w:hyperlink>
    </w:p>
    <w:p w:rsidR="00A8509C" w:rsidRDefault="00A8509C" w:rsidP="00465E1B">
      <w:pPr>
        <w:spacing w:line="276" w:lineRule="auto"/>
      </w:pPr>
    </w:p>
    <w:p w:rsidR="00A8509C" w:rsidRDefault="00A8509C" w:rsidP="00465E1B">
      <w:pPr>
        <w:spacing w:line="276" w:lineRule="auto"/>
      </w:pPr>
      <w:r>
        <w:t xml:space="preserve">Report for Cabinet, </w:t>
      </w:r>
      <w:r>
        <w:rPr>
          <w:i/>
        </w:rPr>
        <w:t>Response to the Scrutiny Review Panel Report on Regeneration Finance</w:t>
      </w:r>
      <w:r>
        <w:t>, 21 June 2018</w:t>
      </w:r>
    </w:p>
    <w:p w:rsidR="00A8509C" w:rsidRDefault="00A8509C" w:rsidP="00465E1B">
      <w:pPr>
        <w:spacing w:line="276" w:lineRule="auto"/>
      </w:pPr>
      <w:r>
        <w:t>Available at:</w:t>
      </w:r>
    </w:p>
    <w:p w:rsidR="00B0007D" w:rsidRDefault="00F05A8A" w:rsidP="00465E1B">
      <w:pPr>
        <w:spacing w:line="276" w:lineRule="auto"/>
      </w:pPr>
      <w:hyperlink r:id="rId15" w:history="1">
        <w:r w:rsidR="00A8509C" w:rsidRPr="00DE38C0">
          <w:rPr>
            <w:rStyle w:val="Hyperlink"/>
          </w:rPr>
          <w:t>https://www.harrow.gov.uk/www2/documents/s151200/Regeneration%20Finance%20Scrutiny%20Review.pdf</w:t>
        </w:r>
      </w:hyperlink>
    </w:p>
    <w:sectPr w:rsidR="00B0007D" w:rsidSect="00044682">
      <w:footerReference w:type="default" r:id="rId16"/>
      <w:pgSz w:w="11909" w:h="16834" w:code="9"/>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B4" w:rsidRDefault="00AD62B4">
      <w:r>
        <w:separator/>
      </w:r>
    </w:p>
  </w:endnote>
  <w:endnote w:type="continuationSeparator" w:id="0">
    <w:p w:rsidR="00AD62B4" w:rsidRDefault="00AD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821550"/>
      <w:docPartObj>
        <w:docPartGallery w:val="Page Numbers (Bottom of Page)"/>
        <w:docPartUnique/>
      </w:docPartObj>
    </w:sdtPr>
    <w:sdtEndPr>
      <w:rPr>
        <w:noProof/>
      </w:rPr>
    </w:sdtEndPr>
    <w:sdtContent>
      <w:p w:rsidR="00125C25" w:rsidRDefault="00125C25">
        <w:pPr>
          <w:pStyle w:val="Footer"/>
          <w:jc w:val="center"/>
        </w:pPr>
        <w:r>
          <w:fldChar w:fldCharType="begin"/>
        </w:r>
        <w:r>
          <w:instrText xml:space="preserve"> PAGE   \* MERGEFORMAT </w:instrText>
        </w:r>
        <w:r>
          <w:fldChar w:fldCharType="separate"/>
        </w:r>
        <w:r w:rsidR="00F05A8A">
          <w:rPr>
            <w:noProof/>
          </w:rPr>
          <w:t>2</w:t>
        </w:r>
        <w:r>
          <w:rPr>
            <w:noProof/>
          </w:rPr>
          <w:fldChar w:fldCharType="end"/>
        </w:r>
      </w:p>
    </w:sdtContent>
  </w:sdt>
  <w:p w:rsidR="00125C25" w:rsidRDefault="0012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B4" w:rsidRDefault="00AD62B4">
      <w:r>
        <w:separator/>
      </w:r>
    </w:p>
  </w:footnote>
  <w:footnote w:type="continuationSeparator" w:id="0">
    <w:p w:rsidR="00AD62B4" w:rsidRDefault="00AD6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1B0"/>
    <w:multiLevelType w:val="hybridMultilevel"/>
    <w:tmpl w:val="48A0B60E"/>
    <w:lvl w:ilvl="0" w:tplc="04DA6E2A">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832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C651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B75073"/>
    <w:multiLevelType w:val="hybridMultilevel"/>
    <w:tmpl w:val="090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C2B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D326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BE65E0"/>
    <w:multiLevelType w:val="multilevel"/>
    <w:tmpl w:val="96CA6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443AAF"/>
    <w:multiLevelType w:val="multilevel"/>
    <w:tmpl w:val="094262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2B096B"/>
    <w:multiLevelType w:val="hybridMultilevel"/>
    <w:tmpl w:val="AFC0E8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E14611F"/>
    <w:multiLevelType w:val="hybridMultilevel"/>
    <w:tmpl w:val="BE625F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5F34CB"/>
    <w:multiLevelType w:val="hybridMultilevel"/>
    <w:tmpl w:val="32B8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E049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F610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144F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A937C5"/>
    <w:multiLevelType w:val="multilevel"/>
    <w:tmpl w:val="15A824C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71F805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EE7346F"/>
    <w:multiLevelType w:val="hybridMultilevel"/>
    <w:tmpl w:val="63A8B4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F953AA7"/>
    <w:multiLevelType w:val="hybridMultilevel"/>
    <w:tmpl w:val="CE8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7"/>
  </w:num>
  <w:num w:numId="6">
    <w:abstractNumId w:val="16"/>
  </w:num>
  <w:num w:numId="7">
    <w:abstractNumId w:val="8"/>
  </w:num>
  <w:num w:numId="8">
    <w:abstractNumId w:val="14"/>
  </w:num>
  <w:num w:numId="9">
    <w:abstractNumId w:val="5"/>
  </w:num>
  <w:num w:numId="10">
    <w:abstractNumId w:val="12"/>
  </w:num>
  <w:num w:numId="11">
    <w:abstractNumId w:val="11"/>
  </w:num>
  <w:num w:numId="12">
    <w:abstractNumId w:val="3"/>
  </w:num>
  <w:num w:numId="13">
    <w:abstractNumId w:val="13"/>
  </w:num>
  <w:num w:numId="14">
    <w:abstractNumId w:val="15"/>
  </w:num>
  <w:num w:numId="15">
    <w:abstractNumId w:val="10"/>
  </w:num>
  <w:num w:numId="16">
    <w:abstractNumId w:val="2"/>
  </w:num>
  <w:num w:numId="17">
    <w:abstractNumId w:val="1"/>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094A"/>
    <w:rsid w:val="00000A03"/>
    <w:rsid w:val="000064A3"/>
    <w:rsid w:val="0001324A"/>
    <w:rsid w:val="000164DB"/>
    <w:rsid w:val="00036698"/>
    <w:rsid w:val="000417A4"/>
    <w:rsid w:val="000427D9"/>
    <w:rsid w:val="00044682"/>
    <w:rsid w:val="00044C51"/>
    <w:rsid w:val="00044EA3"/>
    <w:rsid w:val="00046328"/>
    <w:rsid w:val="00057B03"/>
    <w:rsid w:val="00070EDD"/>
    <w:rsid w:val="000726AA"/>
    <w:rsid w:val="00075CBB"/>
    <w:rsid w:val="00082738"/>
    <w:rsid w:val="00086E8F"/>
    <w:rsid w:val="00095309"/>
    <w:rsid w:val="000A33E4"/>
    <w:rsid w:val="000B74AD"/>
    <w:rsid w:val="000C2CB7"/>
    <w:rsid w:val="000D0A73"/>
    <w:rsid w:val="000D594C"/>
    <w:rsid w:val="000D59D7"/>
    <w:rsid w:val="000F665E"/>
    <w:rsid w:val="000F6EE7"/>
    <w:rsid w:val="00102D49"/>
    <w:rsid w:val="001071C4"/>
    <w:rsid w:val="001120D6"/>
    <w:rsid w:val="00123E54"/>
    <w:rsid w:val="00125C25"/>
    <w:rsid w:val="0013014D"/>
    <w:rsid w:val="00131D9D"/>
    <w:rsid w:val="001337A3"/>
    <w:rsid w:val="001344E1"/>
    <w:rsid w:val="00141F91"/>
    <w:rsid w:val="00143002"/>
    <w:rsid w:val="001431F7"/>
    <w:rsid w:val="00156BDD"/>
    <w:rsid w:val="00156C33"/>
    <w:rsid w:val="00157787"/>
    <w:rsid w:val="00165A06"/>
    <w:rsid w:val="00190B5A"/>
    <w:rsid w:val="00193AAC"/>
    <w:rsid w:val="001946E7"/>
    <w:rsid w:val="001A5BEA"/>
    <w:rsid w:val="001A6BFF"/>
    <w:rsid w:val="001A770A"/>
    <w:rsid w:val="001B393E"/>
    <w:rsid w:val="001C1569"/>
    <w:rsid w:val="001C1706"/>
    <w:rsid w:val="001C2940"/>
    <w:rsid w:val="001C6236"/>
    <w:rsid w:val="001D7933"/>
    <w:rsid w:val="001E153E"/>
    <w:rsid w:val="001E282E"/>
    <w:rsid w:val="001E28E4"/>
    <w:rsid w:val="001E29FB"/>
    <w:rsid w:val="001E68EE"/>
    <w:rsid w:val="001E6DC5"/>
    <w:rsid w:val="001E6E71"/>
    <w:rsid w:val="001F4204"/>
    <w:rsid w:val="001F4DCA"/>
    <w:rsid w:val="00203138"/>
    <w:rsid w:val="00205B6C"/>
    <w:rsid w:val="00217997"/>
    <w:rsid w:val="002311D1"/>
    <w:rsid w:val="00235880"/>
    <w:rsid w:val="002427FF"/>
    <w:rsid w:val="0024596C"/>
    <w:rsid w:val="0024649C"/>
    <w:rsid w:val="00260522"/>
    <w:rsid w:val="00262641"/>
    <w:rsid w:val="002635D6"/>
    <w:rsid w:val="00264EEE"/>
    <w:rsid w:val="00267B48"/>
    <w:rsid w:val="002703D7"/>
    <w:rsid w:val="0027443F"/>
    <w:rsid w:val="00275FE6"/>
    <w:rsid w:val="00277B96"/>
    <w:rsid w:val="00295B66"/>
    <w:rsid w:val="002A7E18"/>
    <w:rsid w:val="002B7F80"/>
    <w:rsid w:val="002C6464"/>
    <w:rsid w:val="002D077C"/>
    <w:rsid w:val="002D35ED"/>
    <w:rsid w:val="002D45D5"/>
    <w:rsid w:val="002D4907"/>
    <w:rsid w:val="002D616C"/>
    <w:rsid w:val="002E7B8B"/>
    <w:rsid w:val="00313F3C"/>
    <w:rsid w:val="00316746"/>
    <w:rsid w:val="00320626"/>
    <w:rsid w:val="00324A8E"/>
    <w:rsid w:val="00345A0E"/>
    <w:rsid w:val="00355E5F"/>
    <w:rsid w:val="003739BF"/>
    <w:rsid w:val="00373C9E"/>
    <w:rsid w:val="0037540E"/>
    <w:rsid w:val="003A2F0B"/>
    <w:rsid w:val="003A33E7"/>
    <w:rsid w:val="003B1C7B"/>
    <w:rsid w:val="003D0D09"/>
    <w:rsid w:val="003E7EEA"/>
    <w:rsid w:val="00413467"/>
    <w:rsid w:val="0042664C"/>
    <w:rsid w:val="00431C38"/>
    <w:rsid w:val="00434092"/>
    <w:rsid w:val="00437313"/>
    <w:rsid w:val="0046258B"/>
    <w:rsid w:val="00465E1B"/>
    <w:rsid w:val="00472428"/>
    <w:rsid w:val="00480D23"/>
    <w:rsid w:val="0048220F"/>
    <w:rsid w:val="00482882"/>
    <w:rsid w:val="0049070E"/>
    <w:rsid w:val="004B2422"/>
    <w:rsid w:val="004B6DB3"/>
    <w:rsid w:val="004C0753"/>
    <w:rsid w:val="004C3312"/>
    <w:rsid w:val="004C43E4"/>
    <w:rsid w:val="004C49C4"/>
    <w:rsid w:val="004C584A"/>
    <w:rsid w:val="004C7CA0"/>
    <w:rsid w:val="004D12CE"/>
    <w:rsid w:val="004D7310"/>
    <w:rsid w:val="004E104D"/>
    <w:rsid w:val="004E2A4E"/>
    <w:rsid w:val="004E43E0"/>
    <w:rsid w:val="004E7306"/>
    <w:rsid w:val="00507725"/>
    <w:rsid w:val="0051247C"/>
    <w:rsid w:val="00517EA6"/>
    <w:rsid w:val="005200DF"/>
    <w:rsid w:val="005219DC"/>
    <w:rsid w:val="00527689"/>
    <w:rsid w:val="005441BD"/>
    <w:rsid w:val="00560E33"/>
    <w:rsid w:val="005655EA"/>
    <w:rsid w:val="00587227"/>
    <w:rsid w:val="005961BE"/>
    <w:rsid w:val="00596D53"/>
    <w:rsid w:val="00597562"/>
    <w:rsid w:val="005A0494"/>
    <w:rsid w:val="005A4F8E"/>
    <w:rsid w:val="005C49A2"/>
    <w:rsid w:val="005C6DB5"/>
    <w:rsid w:val="005D374F"/>
    <w:rsid w:val="005D3881"/>
    <w:rsid w:val="005E0157"/>
    <w:rsid w:val="006003F7"/>
    <w:rsid w:val="00602A27"/>
    <w:rsid w:val="00612A64"/>
    <w:rsid w:val="00617EA5"/>
    <w:rsid w:val="00617F63"/>
    <w:rsid w:val="006230F2"/>
    <w:rsid w:val="0062626F"/>
    <w:rsid w:val="006377D6"/>
    <w:rsid w:val="0064559E"/>
    <w:rsid w:val="00646696"/>
    <w:rsid w:val="0067148D"/>
    <w:rsid w:val="00673FAB"/>
    <w:rsid w:val="006873F0"/>
    <w:rsid w:val="006914A4"/>
    <w:rsid w:val="006A6D1A"/>
    <w:rsid w:val="006B5F35"/>
    <w:rsid w:val="006C25F7"/>
    <w:rsid w:val="006C5C6F"/>
    <w:rsid w:val="006D6AF5"/>
    <w:rsid w:val="006D7C86"/>
    <w:rsid w:val="006E75B8"/>
    <w:rsid w:val="006F22F8"/>
    <w:rsid w:val="006F2C23"/>
    <w:rsid w:val="006F3C4D"/>
    <w:rsid w:val="00713DA0"/>
    <w:rsid w:val="007217F4"/>
    <w:rsid w:val="00733EB9"/>
    <w:rsid w:val="00742930"/>
    <w:rsid w:val="007444BF"/>
    <w:rsid w:val="007523D7"/>
    <w:rsid w:val="00755F86"/>
    <w:rsid w:val="007613B9"/>
    <w:rsid w:val="00763590"/>
    <w:rsid w:val="00764CC8"/>
    <w:rsid w:val="00777253"/>
    <w:rsid w:val="00780A65"/>
    <w:rsid w:val="00784459"/>
    <w:rsid w:val="007A1FF4"/>
    <w:rsid w:val="007A5DA9"/>
    <w:rsid w:val="007C6213"/>
    <w:rsid w:val="007D1E10"/>
    <w:rsid w:val="007D45C7"/>
    <w:rsid w:val="00800858"/>
    <w:rsid w:val="00811BD3"/>
    <w:rsid w:val="00812664"/>
    <w:rsid w:val="008248AB"/>
    <w:rsid w:val="008951A2"/>
    <w:rsid w:val="008C00C6"/>
    <w:rsid w:val="008C502F"/>
    <w:rsid w:val="008C6C65"/>
    <w:rsid w:val="008F1A15"/>
    <w:rsid w:val="00900324"/>
    <w:rsid w:val="00905D7F"/>
    <w:rsid w:val="00915FD6"/>
    <w:rsid w:val="00930C42"/>
    <w:rsid w:val="009366AD"/>
    <w:rsid w:val="00937DB5"/>
    <w:rsid w:val="00961AC2"/>
    <w:rsid w:val="00963D87"/>
    <w:rsid w:val="00973739"/>
    <w:rsid w:val="009761ED"/>
    <w:rsid w:val="00987E34"/>
    <w:rsid w:val="00992464"/>
    <w:rsid w:val="009924D7"/>
    <w:rsid w:val="009D1916"/>
    <w:rsid w:val="009F20A5"/>
    <w:rsid w:val="009F7E5A"/>
    <w:rsid w:val="00A063C8"/>
    <w:rsid w:val="00A07E2D"/>
    <w:rsid w:val="00A1569A"/>
    <w:rsid w:val="00A1579E"/>
    <w:rsid w:val="00A22699"/>
    <w:rsid w:val="00A24E62"/>
    <w:rsid w:val="00A3050F"/>
    <w:rsid w:val="00A31D03"/>
    <w:rsid w:val="00A63868"/>
    <w:rsid w:val="00A656CF"/>
    <w:rsid w:val="00A80761"/>
    <w:rsid w:val="00A80F10"/>
    <w:rsid w:val="00A8509C"/>
    <w:rsid w:val="00AA1879"/>
    <w:rsid w:val="00AA1D1C"/>
    <w:rsid w:val="00AB6E5B"/>
    <w:rsid w:val="00AC08F3"/>
    <w:rsid w:val="00AD62B4"/>
    <w:rsid w:val="00AD68B9"/>
    <w:rsid w:val="00AD7102"/>
    <w:rsid w:val="00AF334B"/>
    <w:rsid w:val="00B0007D"/>
    <w:rsid w:val="00B2490C"/>
    <w:rsid w:val="00B25AF8"/>
    <w:rsid w:val="00B3161D"/>
    <w:rsid w:val="00B36547"/>
    <w:rsid w:val="00B400EE"/>
    <w:rsid w:val="00B40B29"/>
    <w:rsid w:val="00B42804"/>
    <w:rsid w:val="00B46301"/>
    <w:rsid w:val="00B50D94"/>
    <w:rsid w:val="00B53A5D"/>
    <w:rsid w:val="00B558EF"/>
    <w:rsid w:val="00B75672"/>
    <w:rsid w:val="00B776F3"/>
    <w:rsid w:val="00B83D00"/>
    <w:rsid w:val="00B97261"/>
    <w:rsid w:val="00BC333A"/>
    <w:rsid w:val="00BD0B97"/>
    <w:rsid w:val="00BD3190"/>
    <w:rsid w:val="00BD6F2D"/>
    <w:rsid w:val="00BF7DDC"/>
    <w:rsid w:val="00C01452"/>
    <w:rsid w:val="00C043E6"/>
    <w:rsid w:val="00C236B6"/>
    <w:rsid w:val="00C23CFA"/>
    <w:rsid w:val="00C247DD"/>
    <w:rsid w:val="00C27135"/>
    <w:rsid w:val="00C316E9"/>
    <w:rsid w:val="00C37118"/>
    <w:rsid w:val="00C5638F"/>
    <w:rsid w:val="00C647A2"/>
    <w:rsid w:val="00C67D38"/>
    <w:rsid w:val="00C771E7"/>
    <w:rsid w:val="00C817CB"/>
    <w:rsid w:val="00C928FC"/>
    <w:rsid w:val="00CA5B10"/>
    <w:rsid w:val="00CC1569"/>
    <w:rsid w:val="00CC306F"/>
    <w:rsid w:val="00CD12CD"/>
    <w:rsid w:val="00CD179C"/>
    <w:rsid w:val="00CE5450"/>
    <w:rsid w:val="00CF1B0F"/>
    <w:rsid w:val="00D107B2"/>
    <w:rsid w:val="00D16574"/>
    <w:rsid w:val="00D16E14"/>
    <w:rsid w:val="00D24BCC"/>
    <w:rsid w:val="00D269A8"/>
    <w:rsid w:val="00D34A8F"/>
    <w:rsid w:val="00D35D61"/>
    <w:rsid w:val="00D4068D"/>
    <w:rsid w:val="00D41750"/>
    <w:rsid w:val="00D4474B"/>
    <w:rsid w:val="00D51224"/>
    <w:rsid w:val="00D647F3"/>
    <w:rsid w:val="00D66604"/>
    <w:rsid w:val="00D86C2E"/>
    <w:rsid w:val="00DA38BD"/>
    <w:rsid w:val="00DA65E9"/>
    <w:rsid w:val="00DB464E"/>
    <w:rsid w:val="00DE0604"/>
    <w:rsid w:val="00DE6CC7"/>
    <w:rsid w:val="00DF7B4D"/>
    <w:rsid w:val="00E003E6"/>
    <w:rsid w:val="00E02B51"/>
    <w:rsid w:val="00E0775D"/>
    <w:rsid w:val="00E1176D"/>
    <w:rsid w:val="00E1193A"/>
    <w:rsid w:val="00E1239F"/>
    <w:rsid w:val="00E129E3"/>
    <w:rsid w:val="00E27B32"/>
    <w:rsid w:val="00E35D14"/>
    <w:rsid w:val="00E446E9"/>
    <w:rsid w:val="00E45A0A"/>
    <w:rsid w:val="00E55314"/>
    <w:rsid w:val="00E807E7"/>
    <w:rsid w:val="00E91983"/>
    <w:rsid w:val="00EA333E"/>
    <w:rsid w:val="00EC04BA"/>
    <w:rsid w:val="00EC2BCA"/>
    <w:rsid w:val="00EE1C59"/>
    <w:rsid w:val="00F037DB"/>
    <w:rsid w:val="00F05A8A"/>
    <w:rsid w:val="00F0732A"/>
    <w:rsid w:val="00F1064F"/>
    <w:rsid w:val="00F12C0A"/>
    <w:rsid w:val="00F231E2"/>
    <w:rsid w:val="00F45ADF"/>
    <w:rsid w:val="00F56E20"/>
    <w:rsid w:val="00F62B70"/>
    <w:rsid w:val="00F63742"/>
    <w:rsid w:val="00F71E7D"/>
    <w:rsid w:val="00FB23F5"/>
    <w:rsid w:val="00FC270D"/>
    <w:rsid w:val="00FC2AC3"/>
    <w:rsid w:val="00FC53EE"/>
    <w:rsid w:val="00FD21C6"/>
    <w:rsid w:val="00FD2BCE"/>
    <w:rsid w:val="00FE2F05"/>
    <w:rsid w:val="00FE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3E7"/>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TableGrid1">
    <w:name w:val="Table Grid1"/>
    <w:basedOn w:val="TableNormal"/>
    <w:next w:val="TableGrid"/>
    <w:uiPriority w:val="39"/>
    <w:rsid w:val="00DA65E9"/>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35D14"/>
    <w:rPr>
      <w:rFonts w:ascii="Arial" w:hAnsi="Arial" w:cs="Arial"/>
      <w:b/>
      <w:bCs/>
      <w:sz w:val="28"/>
      <w:szCs w:val="32"/>
      <w:lang w:eastAsia="en-US"/>
    </w:rPr>
  </w:style>
  <w:style w:type="character" w:customStyle="1" w:styleId="FooterChar">
    <w:name w:val="Footer Char"/>
    <w:basedOn w:val="DefaultParagraphFont"/>
    <w:link w:val="Footer"/>
    <w:uiPriority w:val="99"/>
    <w:rsid w:val="00125C25"/>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3E7"/>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TableGrid1">
    <w:name w:val="Table Grid1"/>
    <w:basedOn w:val="TableNormal"/>
    <w:next w:val="TableGrid"/>
    <w:uiPriority w:val="39"/>
    <w:rsid w:val="00DA65E9"/>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35D14"/>
    <w:rPr>
      <w:rFonts w:ascii="Arial" w:hAnsi="Arial" w:cs="Arial"/>
      <w:b/>
      <w:bCs/>
      <w:sz w:val="28"/>
      <w:szCs w:val="32"/>
      <w:lang w:eastAsia="en-US"/>
    </w:rPr>
  </w:style>
  <w:style w:type="character" w:customStyle="1" w:styleId="FooterChar">
    <w:name w:val="Footer Char"/>
    <w:basedOn w:val="DefaultParagraphFont"/>
    <w:link w:val="Footer"/>
    <w:uiPriority w:val="99"/>
    <w:rsid w:val="00125C25"/>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5752">
      <w:bodyDiv w:val="1"/>
      <w:marLeft w:val="0"/>
      <w:marRight w:val="0"/>
      <w:marTop w:val="0"/>
      <w:marBottom w:val="0"/>
      <w:divBdr>
        <w:top w:val="none" w:sz="0" w:space="0" w:color="auto"/>
        <w:left w:val="none" w:sz="0" w:space="0" w:color="auto"/>
        <w:bottom w:val="none" w:sz="0" w:space="0" w:color="auto"/>
        <w:right w:val="none" w:sz="0" w:space="0" w:color="auto"/>
      </w:divBdr>
      <w:divsChild>
        <w:div w:id="378286341">
          <w:marLeft w:val="446"/>
          <w:marRight w:val="0"/>
          <w:marTop w:val="0"/>
          <w:marBottom w:val="120"/>
          <w:divBdr>
            <w:top w:val="none" w:sz="0" w:space="0" w:color="auto"/>
            <w:left w:val="none" w:sz="0" w:space="0" w:color="auto"/>
            <w:bottom w:val="none" w:sz="0" w:space="0" w:color="auto"/>
            <w:right w:val="none" w:sz="0" w:space="0" w:color="auto"/>
          </w:divBdr>
        </w:div>
      </w:divsChild>
    </w:div>
    <w:div w:id="758865264">
      <w:bodyDiv w:val="1"/>
      <w:marLeft w:val="0"/>
      <w:marRight w:val="0"/>
      <w:marTop w:val="0"/>
      <w:marBottom w:val="0"/>
      <w:divBdr>
        <w:top w:val="none" w:sz="0" w:space="0" w:color="auto"/>
        <w:left w:val="none" w:sz="0" w:space="0" w:color="auto"/>
        <w:bottom w:val="none" w:sz="0" w:space="0" w:color="auto"/>
        <w:right w:val="none" w:sz="0" w:space="0" w:color="auto"/>
      </w:divBdr>
    </w:div>
    <w:div w:id="772284302">
      <w:bodyDiv w:val="1"/>
      <w:marLeft w:val="0"/>
      <w:marRight w:val="0"/>
      <w:marTop w:val="0"/>
      <w:marBottom w:val="0"/>
      <w:divBdr>
        <w:top w:val="none" w:sz="0" w:space="0" w:color="auto"/>
        <w:left w:val="none" w:sz="0" w:space="0" w:color="auto"/>
        <w:bottom w:val="none" w:sz="0" w:space="0" w:color="auto"/>
        <w:right w:val="none" w:sz="0" w:space="0" w:color="auto"/>
      </w:divBdr>
    </w:div>
    <w:div w:id="1253274506">
      <w:bodyDiv w:val="1"/>
      <w:marLeft w:val="0"/>
      <w:marRight w:val="0"/>
      <w:marTop w:val="0"/>
      <w:marBottom w:val="0"/>
      <w:divBdr>
        <w:top w:val="none" w:sz="0" w:space="0" w:color="auto"/>
        <w:left w:val="none" w:sz="0" w:space="0" w:color="auto"/>
        <w:bottom w:val="none" w:sz="0" w:space="0" w:color="auto"/>
        <w:right w:val="none" w:sz="0" w:space="0" w:color="auto"/>
      </w:divBdr>
    </w:div>
    <w:div w:id="1381826742">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derngov:8080/documents/s150199/Regeneration%20Scrutiny%20Panel%20-%20Final%20Report%20-%20March%20Cabin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harrow.gov.uk/documents/s156670/SDP%20-%20Final%20cover%20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arrow.gov.uk/documents/s156670/SDP%20-%20Final%20cover%20report.pdf" TargetMode="External"/><Relationship Id="rId5" Type="http://schemas.openxmlformats.org/officeDocument/2006/relationships/settings" Target="settings.xml"/><Relationship Id="rId15" Type="http://schemas.openxmlformats.org/officeDocument/2006/relationships/hyperlink" Target="https://www.harrow.gov.uk/www2/documents/s151200/Regeneration%20Finance%20Scrutiny%20Review.pdf" TargetMode="External"/><Relationship Id="rId10" Type="http://schemas.openxmlformats.org/officeDocument/2006/relationships/hyperlink" Target="http://moderngov:8080/documents/s150199/Regeneration%20Scrutiny%20Panel%20-%20Final%20Report%20-%20March%20Cabine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rrow.gov.uk/www2/documents/g64191/Printed%20minutes%20Tuesday%2027-Feb-2018%2020.30%20Overview%20and%20Scrutiny%20Committee.pdf?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C4E7-AFDC-48B2-8A1B-00762095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4138</Words>
  <Characters>24725</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28806</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5</cp:revision>
  <cp:lastPrinted>2019-10-31T15:30:00Z</cp:lastPrinted>
  <dcterms:created xsi:type="dcterms:W3CDTF">2019-11-01T14:19:00Z</dcterms:created>
  <dcterms:modified xsi:type="dcterms:W3CDTF">2019-11-11T14:37:00Z</dcterms:modified>
</cp:coreProperties>
</file>